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 14.2 «Українці можуть користуватися високошвидкісним Інтернетом на всіх міжнародних автошляхах та в усіх населених пунктах»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Відсутність фіксованого широкосмугового доступу до мережі інтернет (ШСД) у жителів сіл і невеликих міст; а також відсутність мобільного ШСД у жителів сіл і невеликих міст, а також у жителів міст під час подорожей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Жителі сіл і невеликих міст ,Жителі міст під час подорожей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До фіксованого інтернету підключено 50% міських домогосподарств і 20% сільських; покриття 4G – не більше 70% населення.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Проблеми мають невисокий пріоритет для більшості стейкхолдерів через відсутність досвіду користування ШСД (для жителів сіл і невеликих міст) або через нетривалий час зазнавання проблеми (у жителів міст під час подорожей); насправді відсутність ШСД значно обмежує можливості громадян отримувати медичні, освітні, адміністративні та інші послуги.</w:t>
      </w:r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За поточних умов зростання покриття зупиняється на межі економічної вигоди – 75-80% населення для мобільного ШСД, 50-60% для фіксованого. Кількість же можливостей, які стають доступні за допомогою ШСД зростає, цифровий розрив посилюється.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Неможливість визначення інформації щодо доступності, параметрів і вартості ШСД</w:t>
      </w:r>
    </w:p>
    <w:p>
      <w:pPr/>
      <w:r>
        <w:rPr/>
        <w:t xml:space="preserve">Причина 2 - Фізична відсутність мобільного ШСД</w:t>
      </w:r>
    </w:p>
    <w:p>
      <w:pPr/>
      <w:r>
        <w:rPr/>
        <w:t xml:space="preserve">Причина 3 - Фізична відсутність фіксованого ШСД</w:t>
      </w:r>
    </w:p>
    <w:p>
      <w:pPr/>
      <w:r>
        <w:rPr/>
        <w:t xml:space="preserve">Причина 4 - ШСД недоступний фінансово</w:t>
      </w:r>
    </w:p>
    <w:p>
      <w:pPr/>
      <w:r>
        <w:rPr/>
        <w:t xml:space="preserve">Причина 5 - Фіксований ШСД недоступний людям з інвалідністю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Відсоток міжнародних автошляхів та населених пунктів з покриттям високошвидкісним Інтернетом (швидкість — не менше 30 Мбіт/с)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Цілісна політика у сфері ШСД відсутня.</w:t>
      </w:r>
    </w:p>
    <w:p>
      <w:pPr/>
      <w:r>
        <w:rPr/>
        <w:t xml:space="preserve">Орган, що формально формував її, був інституційно неспроможний: відсутнє нормативне визначення ШСД, його види, параметри якості, цілі щодо поширення і т.д.</w:t>
      </w:r>
    </w:p>
    <w:p>
      <w:pPr/>
      <w:r>
        <w:rPr/>
        <w:t xml:space="preserve">Державні і комунальні кошти на забезпечення ШСД виділяються, однак відсутні координація і належний контроль.</w:t>
      </w:r>
    </w:p>
    <w:p>
      <w:pPr/>
      <w:r>
        <w:rPr/>
        <w:t xml:space="preserve">Україна взяла зобов’язання повністю імплементувати Кодекс електронних комунікацій ЄС у цій сфері, чинні понад 15 років закони і відповідні підзаконні акти не відповідають нормам ЄС.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“Забезпечення фінансової доступності ШСД”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домогосподарства, підключених до фіксованого ШСД; % абонентів мобільного зв’язку, що використовують мобільний ШСД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Забезпечення конкуренції провайдерів мобільного ШСД в усіх регіонах</w:t>
      </w:r>
    </w:p>
    <w:p>
      <w:pPr>
        <w:numPr>
          <w:ilvl w:val="0"/>
          <w:numId w:val="1"/>
        </w:numPr>
      </w:pPr>
      <w:r>
        <w:rPr/>
        <w:t xml:space="preserve">Запровадження механізмів адресної компенсації кінцевим споживачам</w:t>
      </w:r>
    </w:p>
    <w:p>
      <w:pPr>
        <w:numPr>
          <w:ilvl w:val="0"/>
          <w:numId w:val="1"/>
        </w:numPr>
      </w:pPr>
      <w:r>
        <w:rPr/>
        <w:t xml:space="preserve">Запровадження програм державно-приватного партнерства</w:t>
      </w:r>
    </w:p>
    <w:p>
      <w:pPr>
        <w:numPr>
          <w:ilvl w:val="0"/>
          <w:numId w:val="1"/>
        </w:numPr>
      </w:pPr>
      <w:r>
        <w:rPr/>
        <w:t xml:space="preserve">Забезпечення конкуренції за конкретного споживача фіксованого ШСД</w:t>
      </w:r>
    </w:p>
    <w:p>
      <w:pPr/>
      <w:r>
        <w:rPr>
          <w:b w:val="1"/>
          <w:bCs w:val="1"/>
        </w:rPr>
        <w:t xml:space="preserve">2.2. Підціль 2 “Забезпечення доступності даних щодо доступності, параметрів і вартості ШСД”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Доступність споживачам, державним органам та бізнесу даних про доступність мереж ШСД та їх характеристик із точністю до конкретної адреси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Встановлення поняття і параметрів ШСД</w:t>
      </w:r>
    </w:p>
    <w:p>
      <w:pPr>
        <w:numPr>
          <w:ilvl w:val="0"/>
          <w:numId w:val="1"/>
        </w:numPr>
      </w:pPr>
      <w:r>
        <w:rPr/>
        <w:t xml:space="preserve">Забезпечення збору показників</w:t>
      </w:r>
    </w:p>
    <w:p>
      <w:pPr>
        <w:numPr>
          <w:ilvl w:val="0"/>
          <w:numId w:val="1"/>
        </w:numPr>
      </w:pPr>
      <w:r>
        <w:rPr/>
        <w:t xml:space="preserve">Забезпечення можливості зворотнього зв’язку від споживачів</w:t>
      </w:r>
    </w:p>
    <w:p>
      <w:pPr/>
      <w:r>
        <w:rPr>
          <w:b w:val="1"/>
          <w:bCs w:val="1"/>
        </w:rPr>
        <w:t xml:space="preserve">2.3. Підціль 3 “Забезпечення фізичної доступності мереж мобільного ШСД”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населення, що проживає у населених пунктах із покриттям мобільним ШСД; % автомобільних доріг із покриттям мобільним ШСД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Забезпечення прогнозованості державної політики у сфері ШСД</w:t>
      </w:r>
    </w:p>
    <w:p>
      <w:pPr>
        <w:numPr>
          <w:ilvl w:val="0"/>
          <w:numId w:val="1"/>
        </w:numPr>
      </w:pPr>
      <w:r>
        <w:rPr/>
        <w:t xml:space="preserve">Забезпечення розробки карти покриття мобільним ШСД</w:t>
      </w:r>
    </w:p>
    <w:p>
      <w:pPr>
        <w:numPr>
          <w:ilvl w:val="0"/>
          <w:numId w:val="1"/>
        </w:numPr>
      </w:pPr>
      <w:r>
        <w:rPr/>
        <w:t xml:space="preserve">Усунення фрагментації і зменшення концентрації у діапазоні 900 МГц</w:t>
      </w:r>
    </w:p>
    <w:p>
      <w:pPr>
        <w:numPr>
          <w:ilvl w:val="0"/>
          <w:numId w:val="1"/>
        </w:numPr>
      </w:pPr>
      <w:r>
        <w:rPr/>
        <w:t xml:space="preserve">Вивільнення діапазонів 700 МГц, 800 МГц, 900 МГц</w:t>
      </w:r>
    </w:p>
    <w:p>
      <w:pPr>
        <w:numPr>
          <w:ilvl w:val="0"/>
          <w:numId w:val="1"/>
        </w:numPr>
      </w:pPr>
      <w:r>
        <w:rPr/>
        <w:t xml:space="preserve">Спрощення розміщення телекомунікаційного обладнання</w:t>
      </w:r>
    </w:p>
    <w:p>
      <w:pPr>
        <w:numPr>
          <w:ilvl w:val="0"/>
          <w:numId w:val="1"/>
        </w:numPr>
      </w:pPr>
      <w:r>
        <w:rPr/>
        <w:t xml:space="preserve">Лібералізація правил користування радіочастотним спектром: запровадження технологічної нейтральності, забезпечення можливості комерційного спільного використання частот</w:t>
      </w:r>
    </w:p>
    <w:p>
      <w:pPr>
        <w:numPr>
          <w:ilvl w:val="0"/>
          <w:numId w:val="1"/>
        </w:numPr>
      </w:pPr>
      <w:r>
        <w:rPr/>
        <w:t xml:space="preserve">Вивільнення частот у діапазоні вище 2 ГГц для надання послуг мобільного зв’язку</w:t>
      </w:r>
    </w:p>
    <w:p>
      <w:pPr>
        <w:numPr>
          <w:ilvl w:val="0"/>
          <w:numId w:val="1"/>
        </w:numPr>
      </w:pPr>
      <w:r>
        <w:rPr/>
        <w:t xml:space="preserve">Запровадження механізмів зменшення витрат операторів у регіонах із низьким покриттям</w:t>
      </w:r>
    </w:p>
    <w:p>
      <w:pPr>
        <w:numPr>
          <w:ilvl w:val="0"/>
          <w:numId w:val="1"/>
        </w:numPr>
      </w:pPr>
      <w:r>
        <w:rPr/>
        <w:t xml:space="preserve">Забезпечення доступу до інфраструктури енергетики, транспорту, об’єктів будівництва</w:t>
      </w:r>
    </w:p>
    <w:p>
      <w:pPr/>
      <w:r>
        <w:rPr>
          <w:b w:val="1"/>
          <w:bCs w:val="1"/>
        </w:rPr>
        <w:t xml:space="preserve">2.4. Підціль 4 “Забезпечення фізичного покриття мережами фіксованого ШСД”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домогосподарств із покриттям фіксованим ШСД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Забезпечення прогнозованості державної політики у сфері ШСД: затвердження національного плану розвитку ШСД</w:t>
      </w:r>
    </w:p>
    <w:p>
      <w:pPr>
        <w:numPr>
          <w:ilvl w:val="0"/>
          <w:numId w:val="1"/>
        </w:numPr>
      </w:pPr>
      <w:r>
        <w:rPr/>
        <w:t xml:space="preserve">Створення карти покриття фіксованим ШСД</w:t>
      </w:r>
    </w:p>
    <w:p>
      <w:pPr>
        <w:numPr>
          <w:ilvl w:val="0"/>
          <w:numId w:val="1"/>
        </w:numPr>
      </w:pPr>
      <w:r>
        <w:rPr/>
        <w:t xml:space="preserve">Забезпечення доступу до інфраструктури енергетики, транспорту, об’єктів будівництва</w:t>
      </w:r>
    </w:p>
    <w:p>
      <w:pPr>
        <w:numPr>
          <w:ilvl w:val="0"/>
          <w:numId w:val="1"/>
        </w:numPr>
      </w:pPr>
      <w:r>
        <w:rPr/>
        <w:t xml:space="preserve">Забезпечення доступу до інфраструктури інших операторів</w:t>
      </w:r>
    </w:p>
    <w:p>
      <w:pPr>
        <w:numPr>
          <w:ilvl w:val="0"/>
          <w:numId w:val="1"/>
        </w:numPr>
      </w:pPr>
      <w:r>
        <w:rPr/>
        <w:t xml:space="preserve">Підключення до фіксованого ШСД об’єктів соціальної інфраструктури</w:t>
      </w:r>
    </w:p>
    <w:p>
      <w:pPr>
        <w:numPr>
          <w:ilvl w:val="0"/>
          <w:numId w:val="1"/>
        </w:numPr>
      </w:pPr>
      <w:r>
        <w:rPr/>
        <w:t xml:space="preserve">Забезпечення доступності інформації про опорні мережі ШСД</w:t>
      </w:r>
    </w:p>
    <w:p>
      <w:pPr/>
      <w:r>
        <w:rPr>
          <w:b w:val="1"/>
          <w:bCs w:val="1"/>
        </w:rPr>
        <w:t xml:space="preserve">2.5. Підціль 5 “Забезпечення доступності ШСД людям з інвалідністю”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осіб з інвалідністю, які користуються ШСД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Забезпечення осіб з інвалідністю спеціалізованим термінальним обладнанням</w:t>
      </w:r>
    </w:p>
    <w:p>
      <w:pPr>
        <w:numPr>
          <w:ilvl w:val="0"/>
          <w:numId w:val="1"/>
        </w:numPr>
      </w:pPr>
      <w:r>
        <w:rPr/>
        <w:t xml:space="preserve">Забезпечення надання інформації про послуги у спосіб, пристосований для сприйняття людьми з інвалідністю: через більше ніж один орган чуття тощо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CF1C7F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2020-02-10T10:30:06+02:00</dcterms:created>
  <dcterms:modified xsi:type="dcterms:W3CDTF">2020-02-10T10:30:06+02:00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