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17.1. «Україна відповідає критеріям членства  в Європейському Союзі»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Незадовільний темп реалізації стратегічного курсу держави на набуття повноправного членства України в Європейському Союзі, внаслідок чого рівень життя українців не відповідає європейським стандартам</w:t>
      </w:r>
    </w:p>
    <w:p>
      <w:pPr/>
      <w:r>
        <w:rPr>
          <w:b w:val="1"/>
          <w:bCs w:val="1"/>
        </w:rPr>
        <w:t xml:space="preserve">1.2. Носій проблеми </w:t>
      </w:r>
    </w:p>
    <w:p>
      <w:pPr/>
      <w:r>
        <w:rPr/>
        <w:t xml:space="preserve">Громадяни, які підтримують вступ до ЄС</w:t>
      </w:r>
    </w:p>
    <w:p>
      <w:pPr/>
      <w:r>
        <w:rPr>
          <w:b w:val="1"/>
          <w:bCs w:val="1"/>
        </w:rPr>
        <w:t xml:space="preserve">1.3. Масштаб проблеми: Загальнонаціональна</w:t>
      </w:r>
    </w:p>
    <w:p>
      <w:pPr/>
      <w:r>
        <w:rPr/>
        <w:t xml:space="preserve">Європейська ідентичність українського народу та незворотність європейського курсу України закріплені у преамбулі Конституції України, 62% громадян підтримують вступ до ЄС</w:t>
      </w:r>
      <w:hyperlink w:anchor="_ftn1" w:history="1">
        <w:r>
          <w:rPr/>
          <w:t xml:space="preserve">[1]</w:t>
        </w:r>
      </w:hyperlink>
      <w:r>
        <w:rPr/>
        <w:t xml:space="preserve">. Існує потреба у підвищенні рівня використання регіонами України євроінтеграційних можливостей та їх комунікації для пересічних громадян</w:t>
      </w:r>
    </w:p>
    <w:p>
      <w:pPr/>
      <w:r>
        <w:rPr/>
        <w:t xml:space="preserve"> </w:t>
      </w:r>
    </w:p>
    <w:p>
      <w:pPr/>
      <w:hyperlink w:anchor="_ftnref1" w:history="1">
        <w:r>
          <w:rPr/>
          <w:t xml:space="preserve">[1]</w:t>
        </w:r>
      </w:hyperlink>
      <w:r>
        <w:rPr/>
        <w:t xml:space="preserve"> </w:t>
      </w:r>
      <w:hyperlink r:id="rId9" w:history="1">
        <w:r>
          <w:rPr/>
          <w:t xml:space="preserve">https://www.ndi.org/sites/default/files/NDI_September%202019%20survey_Public_vf.pdf</w:t>
        </w:r>
      </w:hyperlink>
      <w:r>
        <w:rPr>
          <w:u w:val="single"/>
        </w:rPr>
        <w:t xml:space="preserve"> </w:t>
      </w:r>
      <w:r>
        <w:rPr/>
        <w:t xml:space="preserve">(слайд 26)</w:t>
      </w:r>
    </w:p>
    <w:p>
      <w:pPr/>
      <w:r>
        <w:rPr>
          <w:b w:val="1"/>
          <w:bCs w:val="1"/>
        </w:rPr>
        <w:t xml:space="preserve">1.4. Гострота проблеми: Гостра</w:t>
      </w:r>
    </w:p>
    <w:p>
      <w:pPr/>
      <w:r>
        <w:rPr/>
        <w:t xml:space="preserve">Обмежена можливість повноцінного користування перевагами свободи руху людей, товарів, послуг та капіталу між Україною та ЄС, незадовільний рівень життя населення, який не відповідає європейському, неналежна комунікація можливостей, які відкриває європейська інтеграція. Зокрема, станом на кінець 2018 року близько половини українців (48 %) не вважали себе європейцями через відсутність європейського рівня добробуту</w:t>
      </w:r>
      <w:hyperlink w:anchor="_ftn1" w:history="1">
        <w:r>
          <w:rPr/>
          <w:t xml:space="preserve">[1]</w:t>
        </w:r>
      </w:hyperlink>
      <w:r>
        <w:rPr/>
        <w:t xml:space="preserve">. Станом на червень 2019 року у цілому по країні необхідність проведення «євроінтеграційних реформ» як свідомого вибору підтримувало тільки 55 % населення</w:t>
      </w:r>
      <w:hyperlink w:anchor="_ftn2" w:history="1">
        <w:r>
          <w:rPr/>
          <w:t xml:space="preserve">[2]</w:t>
        </w:r>
      </w:hyperlink>
      <w:r>
        <w:rPr/>
        <w:t xml:space="preserve">. При цьому, найбільшим зовнішнім викликом курсу України на інтеграцію з ЄС було названо можливе розчарування з боку європейських партнерів (47 % опитаних)</w:t>
      </w:r>
      <w:hyperlink w:anchor="_ftn3" w:history="1">
        <w:r>
          <w:rPr/>
          <w:t xml:space="preserve">[3]</w:t>
        </w:r>
      </w:hyperlink>
      <w:r>
        <w:rPr/>
        <w:t xml:space="preserve">.</w:t>
      </w:r>
    </w:p>
    <w:p>
      <w:pPr/>
      <w:r>
        <w:rPr/>
        <w:t xml:space="preserve"> </w:t>
      </w:r>
    </w:p>
    <w:p>
      <w:pPr/>
      <w:hyperlink w:anchor="_ftnref1" w:history="1">
        <w:r>
          <w:rPr/>
          <w:t xml:space="preserve">[1]</w:t>
        </w:r>
      </w:hyperlink>
      <w:r>
        <w:rPr/>
        <w:t xml:space="preserve"> </w:t>
      </w:r>
      <w:hyperlink r:id="rId12" w:history="1">
        <w:r>
          <w:rPr/>
          <w:t xml:space="preserve">https://dif.org.ua/article/evropeyska-integratsiya-u-vimiri-gromadskoi-dumki</w:t>
        </w:r>
      </w:hyperlink>
    </w:p>
    <w:p>
      <w:pPr/>
      <w:hyperlink w:anchor="_ftnref2" w:history="1">
        <w:r>
          <w:rPr/>
          <w:t xml:space="preserve">[2]</w:t>
        </w:r>
      </w:hyperlink>
      <w:r>
        <w:rPr/>
        <w:t xml:space="preserve"> </w:t>
      </w:r>
      <w:hyperlink r:id="rId14" w:history="1">
        <w:r>
          <w:rPr/>
          <w:t xml:space="preserve">https://www.kmu.gov.ua/news/72-ukrayinciv-potrebuyut-bilshe-informaciyi-pro-yes-ta-yevrointegraciyu-52-pro-nato</w:t>
        </w:r>
      </w:hyperlink>
      <w:r>
        <w:rPr>
          <w:u w:val="single"/>
        </w:rPr>
        <w:t xml:space="preserve"> </w:t>
      </w:r>
      <w:r>
        <w:rPr/>
        <w:t xml:space="preserve">(слайд 8)</w:t>
      </w:r>
    </w:p>
    <w:p>
      <w:pPr/>
      <w:hyperlink w:anchor="_ftnref3" w:history="1">
        <w:r>
          <w:rPr/>
          <w:t xml:space="preserve">[3]</w:t>
        </w:r>
      </w:hyperlink>
      <w:r>
        <w:rPr/>
        <w:t xml:space="preserve"> </w:t>
      </w:r>
      <w:hyperlink r:id="rId14" w:history="1">
        <w:r>
          <w:rPr/>
          <w:t xml:space="preserve">https://www.kmu.gov.ua/news/72-ukrayinciv-potrebuyut-bilshe-informaciyi-pro-yes-ta-yevrointegraciyu-52-pro-nato</w:t>
        </w:r>
      </w:hyperlink>
      <w:r>
        <w:rPr>
          <w:u w:val="single"/>
        </w:rPr>
        <w:t xml:space="preserve"> </w:t>
      </w:r>
      <w:r>
        <w:rPr/>
        <w:t xml:space="preserve">(слайд 7)</w:t>
      </w:r>
    </w:p>
    <w:p>
      <w:pPr/>
      <w:r>
        <w:rPr>
          <w:b w:val="1"/>
          <w:bCs w:val="1"/>
        </w:rPr>
        <w:t xml:space="preserve">1.5. Динаміка проблеми:  Нейтральна</w:t>
      </w:r>
    </w:p>
    <w:p>
      <w:pPr/>
      <w:r>
        <w:rPr/>
        <w:t xml:space="preserve">Угода про асоціацію між Україною та Європейським Союзом, Європейським співтовариством з атомної енергії та їхніми державами-членами, з іншої сторони (далі — Угода про асоціацію), включає зобов’язання в 24 сферах суспільного життя та передбачає імплементацію майже 400 актів права ЄС. За останні роки Україна досягла помітного прогресу у виконанні Угоди про асоціацію — 44 % з 2014 року дотепер, незважаючи на триваючу агресію з боку Російської Федерації (що значно ускладнює виконання Угоди про асоціацію).</w:t>
      </w:r>
    </w:p>
    <w:p>
      <w:pPr/>
      <w:r>
        <w:rPr/>
        <w:t xml:space="preserve">Починаючи з 2014 року підтримка громадянами України вступу до ЄС невпинно зростає</w:t>
      </w:r>
      <w:hyperlink w:anchor="_ftn1" w:history="1">
        <w:r>
          <w:rPr/>
          <w:t xml:space="preserve">[1]</w:t>
        </w:r>
      </w:hyperlink>
      <w:r>
        <w:rPr/>
        <w:t xml:space="preserve"> з 54 % у 2014 році до 62 % у 2019 році. Водночас цілі, визначені Програмою діяльності Уряду щодо досягнення відповідності Копенгагенським економічним критеріям, потребують пришвидшення темпів виконання Угоди</w:t>
      </w:r>
    </w:p>
    <w:p>
      <w:pPr/>
      <w:r>
        <w:rPr/>
        <w:t xml:space="preserve"> </w:t>
      </w:r>
    </w:p>
    <w:p>
      <w:pPr/>
      <w:hyperlink w:anchor="_ftnref1" w:history="1">
        <w:r>
          <w:rPr/>
          <w:t xml:space="preserve">[1]</w:t>
        </w:r>
      </w:hyperlink>
      <w:r>
        <w:rPr/>
        <w:t xml:space="preserve"> </w:t>
      </w:r>
      <w:hyperlink r:id="rId16" w:history="1">
        <w:r>
          <w:rPr/>
          <w:t xml:space="preserve">http://ratinggroup.ua/files/ratinggroup/reg_files/rg_ua_062019_press.pdf</w:t>
        </w:r>
      </w:hyperlink>
      <w:r>
        <w:rPr/>
        <w:t xml:space="preserve"> (слайд 21)</w:t>
      </w:r>
    </w:p>
    <w:p>
      <w:pPr/>
      <w:r>
        <w:rPr>
          <w:b w:val="1"/>
          <w:bCs w:val="1"/>
        </w:rPr>
        <w:t xml:space="preserve">1.6. Причини проблеми</w:t>
      </w:r>
    </w:p>
    <w:p>
      <w:pPr/>
      <w:r>
        <w:rPr/>
        <w:t xml:space="preserve">Причина 1 - Порушення встановлених строків та неналежна якість виконання зобов’язань за Угодою про асоціацію</w:t>
      </w:r>
    </w:p>
    <w:p>
      <w:pPr/>
      <w:r>
        <w:rPr/>
        <w:t xml:space="preserve">Причина 2 - Складний довготривалий бюрократичний процес оновлення Угоди про асоціацію (додатків до Угоди про асоціацію) з метою врахування актуального законодавства ЄС та динаміки відносин між Україною та ЄС, зокрема, у пріоритетних сферах секторальної інтеграції</w:t>
      </w:r>
    </w:p>
    <w:p>
      <w:pPr/>
      <w:r>
        <w:rPr/>
        <w:t xml:space="preserve">Причина 3 - Недостатня залученність Європейської Комісії до виконання зі свого боку Угоди про асоціацію на щоденній основі</w:t>
      </w:r>
    </w:p>
    <w:p>
      <w:pPr/>
      <w:r>
        <w:rPr/>
        <w:t xml:space="preserve">Причина 4 - Недостатній рівень комунікації євроінтеграційних можливостей на регіональному рівні</w:t>
      </w:r>
    </w:p>
    <w:p>
      <w:pPr/>
      <w:r>
        <w:rPr>
          <w:b w:val="1"/>
          <w:bCs w:val="1"/>
        </w:rPr>
        <w:t xml:space="preserve">1.7. Показники ефективності політики</w:t>
      </w:r>
    </w:p>
    <w:p>
      <w:pPr>
        <w:numPr>
          <w:ilvl w:val="0"/>
          <w:numId w:val="1"/>
        </w:numPr>
      </w:pPr>
      <w:r>
        <w:rPr/>
        <w:t xml:space="preserve">Максимальне наближення до усіх економічних критеріїв, яким мають відповідати країни-кандидати на вступ до Європейського Союзу (Копенгагенські критерії)</w:t>
      </w:r>
    </w:p>
    <w:p>
      <w:pPr>
        <w:numPr>
          <w:ilvl w:val="0"/>
          <w:numId w:val="1"/>
        </w:numPr>
      </w:pPr>
      <w:r>
        <w:rPr/>
        <w:t xml:space="preserve">Україна приєдналася до спільного економічного, енергетичного, цифрового, правового та культурного простору ЄС</w:t>
      </w:r>
    </w:p>
    <w:p>
      <w:pPr/>
      <w:r>
        <w:rPr>
          <w:b w:val="1"/>
          <w:bCs w:val="1"/>
        </w:rPr>
        <w:t xml:space="preserve">1.8. Опис чинної державної політики щодо вирішення проблеми / її причин.</w:t>
      </w:r>
    </w:p>
    <w:p>
      <w:pPr/>
      <w:r>
        <w:rPr/>
        <w:t xml:space="preserve">Стратегічний курс на набуття повноправного членства в ЄС закріплений в Конституції України.</w:t>
      </w:r>
    </w:p>
    <w:p>
      <w:pPr/>
      <w:r>
        <w:rPr/>
        <w:t xml:space="preserve">Однією з цілей Програми діяльності Кабінету Міністрів є досягнення Україною відповідності критеріям членства в ЄС. У рамках виконання цієї цілі Україна впроваджує Угоду про асоціацію, у якій закладені підвалини політичної асоціації та економічної інтеграції України з ЄС.</w:t>
      </w:r>
    </w:p>
    <w:p>
      <w:pPr/>
      <w:r>
        <w:rPr/>
        <w:t xml:space="preserve">Угодою про асоціацію передбачено створення спільних органів асоціації між Україною та ЄС, під час засідань яких здійснюється контроль та моніторинг застосування і виконання Угоди про асоціацію, періодично переглядається функціонування Угоди про асоціацію у світлі її цілей, приймаються необхідні рішення (Саміт, Рада асоціації, Комітет асоціації, Комітет асоціації у торговельному складі, підкомітети та діалоги, Парламентський комітет асоціації, Платформа громадянського суспільства).</w:t>
      </w:r>
    </w:p>
    <w:p>
      <w:pPr/>
      <w:r>
        <w:rPr/>
        <w:t xml:space="preserve">Впровадження Угоди про асоціацію здійснюється відповідно до плану заходів з виконання Угоди про асоціацію (постанова Кабінету Міністрів від 25.10.2017 № 1106).</w:t>
      </w:r>
    </w:p>
    <w:p>
      <w:pPr/>
      <w:r>
        <w:rPr/>
        <w:t xml:space="preserve">З метою моніторингу реалізації плану заходів з виконання Угоди про асоціацію функціонує публічна інформаційно-аналітична система «Пульс Угоди».</w:t>
      </w:r>
    </w:p>
    <w:p>
      <w:pPr/>
      <w:r>
        <w:rPr/>
        <w:t xml:space="preserve">На щоквартальній та ad hoc основах проводяться робочі наради (під головуванням Віце-прем’єр-міністра з питань європейської та євроатлантичної інтеграції України) з органами державної влади для вирішення проблемних питань з виконання Угоди про асоціацію.</w:t>
      </w:r>
    </w:p>
    <w:p>
      <w:pPr/>
      <w:r>
        <w:rPr/>
        <w:t xml:space="preserve">19 листопада 2019 року створено спільну парламентсько-урядову платформу задля більш ефективного та швидкого вирішення пріоритетних завдань європейської інтеграції, посилення парламентсько-урядової взаємодії та максимального врахування актів права ЄС в текстах проектів законів, які знаходяться на розгляді Верховної Ради.</w:t>
      </w:r>
    </w:p>
    <w:p>
      <w:pPr/>
      <w:r>
        <w:rPr/>
        <w:t xml:space="preserve">З 20 листопада 2019 року започатковано проведення щорічних спеціальних «євроінтеграційних» засідань Уряду.</w:t>
      </w:r>
    </w:p>
    <w:p>
      <w:pPr/>
      <w:r>
        <w:rPr/>
        <w:t xml:space="preserve">Урядовий офіс координації європейської та євроатлантичної інтеграції Секретаріату Кабінету Міністрів здійснює організаційне, експертно-аналітичне та інформаційне забезпечення діяльності у сфері європейської інтеграції Кабінету Міністрів, Прем’єр-міністра та Віце-прем’єр-міністра, до компетенції якого віднесено питання європейської та євроатлантичної інтеграції, зокрема щодо координації діяльності органів виконавчої влади з розроблення та здійснення заходів, спрямованих на виконання Угоди про асоціацію (постанова Кабінету Міністрів від 04.10.2017 № 759). </w:t>
      </w:r>
    </w:p>
    <w:p>
      <w:pPr/>
      <w:r>
        <w:rPr/>
        <w:t xml:space="preserve">На парламентському рівні Комітет Верховної Ради з питань інтеграції України з Європейським Союзом опікується питаннями наближення українського законодавства до законодавства ЄС, державною політикою у сфері європейської інтеграції та іншими питаннями, пов’язаними із співробітництвом з ЄС</w:t>
      </w:r>
    </w:p>
    <w:p>
      <w:pPr/>
      <w:r>
        <w:rPr>
          <w:b w:val="1"/>
          <w:bCs w:val="1"/>
        </w:rPr>
        <w:t xml:space="preserve">2.	ПРОПОНОВАНИЙ КУРС ПОЛІТИКИ</w:t>
      </w:r>
    </w:p>
    <w:p>
      <w:pPr/>
      <w:r>
        <w:rPr>
          <w:b w:val="1"/>
          <w:bCs w:val="1"/>
        </w:rPr>
        <w:t xml:space="preserve">2.1. Підціль 1 “Забезпечення своєчасного та належного виконання зобов’язань за Угодою про асоціацію”</w:t>
      </w:r>
    </w:p>
    <w:p>
      <w:pPr/>
      <w:r>
        <w:rPr>
          <w:b w:val="1"/>
          <w:bCs w:val="1"/>
        </w:rPr>
        <w:t xml:space="preserve">Показники результативності: </w:t>
      </w:r>
    </w:p>
    <w:p>
      <w:pPr>
        <w:numPr>
          <w:ilvl w:val="0"/>
          <w:numId w:val="1"/>
        </w:numPr>
      </w:pPr>
      <w:r>
        <w:rPr/>
        <w:t xml:space="preserve">Реалізація 80 % завдань, визначених планом заходів з виконання Угоди про асоціацію (постанова Кабінету Міністрів України від 25.10.2017 № 1106)</w:t>
      </w:r>
    </w:p>
    <w:p>
      <w:pPr/>
      <w:r>
        <w:rPr>
          <w:b w:val="1"/>
          <w:bCs w:val="1"/>
        </w:rPr>
        <w:t xml:space="preserve">Завдання до підцілі 1: </w:t>
      </w:r>
    </w:p>
    <w:p>
      <w:pPr>
        <w:numPr>
          <w:ilvl w:val="0"/>
          <w:numId w:val="1"/>
        </w:numPr>
      </w:pPr>
      <w:r>
        <w:rPr/>
        <w:t xml:space="preserve">Проведення планування, моніторингу та оцінки результативності виконання Угоди про асоціацію, у тому числі наповнення публічної інформаційно-аналітичної системи «Пульс Угоди»</w:t>
      </w:r>
    </w:p>
    <w:p>
      <w:pPr>
        <w:numPr>
          <w:ilvl w:val="0"/>
          <w:numId w:val="1"/>
        </w:numPr>
      </w:pPr>
      <w:r>
        <w:rPr/>
        <w:t xml:space="preserve">Вжиття координаційних заходів з виконання Угоди про асоціацію та надання методологічної допомоги центральним органам виконавчої влади</w:t>
      </w:r>
    </w:p>
    <w:p>
      <w:pPr/>
      <w:r>
        <w:rPr>
          <w:b w:val="1"/>
          <w:bCs w:val="1"/>
        </w:rPr>
        <w:t xml:space="preserve">2.2. Підціль 2 “Оновлення Угоди про асоціацію”</w:t>
      </w:r>
    </w:p>
    <w:p>
      <w:pPr/>
      <w:r>
        <w:rPr>
          <w:b w:val="1"/>
          <w:bCs w:val="1"/>
        </w:rPr>
        <w:t xml:space="preserve">Показники результативності: </w:t>
      </w:r>
    </w:p>
    <w:p>
      <w:pPr>
        <w:numPr>
          <w:ilvl w:val="0"/>
          <w:numId w:val="1"/>
        </w:numPr>
      </w:pPr>
      <w:r>
        <w:rPr/>
        <w:t xml:space="preserve">Оновлено 100 % додатків до Угоди про асоціацію, які потребують приведення у відповідність з актуальним законодавством ЄС та врахування рішень двосторонніх органів асоціації Україна — ЄС</w:t>
      </w:r>
    </w:p>
    <w:p>
      <w:pPr/>
      <w:r>
        <w:rPr>
          <w:b w:val="1"/>
          <w:bCs w:val="1"/>
        </w:rPr>
        <w:t xml:space="preserve">Завдання до підцілі 2: </w:t>
      </w:r>
    </w:p>
    <w:p>
      <w:pPr>
        <w:numPr>
          <w:ilvl w:val="0"/>
          <w:numId w:val="1"/>
        </w:numPr>
      </w:pPr>
      <w:r>
        <w:rPr/>
        <w:t xml:space="preserve">Розроблення та прийняття рішень органами асоціації щодо внесення змін до Угоди про асоціацію, зокрема до Додатків I-A, XV, XVII-2, XVII-3, XVII-4, XVII-5, XXII-A, XXVIII, XXX, XXXI, XXXII, XXXIV—XLI</w:t>
      </w:r>
    </w:p>
    <w:p>
      <w:pPr>
        <w:numPr>
          <w:ilvl w:val="0"/>
          <w:numId w:val="1"/>
        </w:numPr>
      </w:pPr>
      <w:r>
        <w:rPr/>
        <w:t xml:space="preserve">Включення нового додатку у сфері юстиції, свободи та безпеки до Угоди про асоціацію</w:t>
      </w:r>
    </w:p>
    <w:p>
      <w:pPr/>
      <w:r>
        <w:rPr>
          <w:b w:val="1"/>
          <w:bCs w:val="1"/>
        </w:rPr>
        <w:t xml:space="preserve">2.3. Підціль 3 “Підвищення рівня залученості Європейської Комісії до виконання Угоди про асоціацію завдяки створенню необхідних умов для забезпечення секторальної інтеграції України з ЄС, зокрема до економічного, енергетичного, цифрового, правового та культурного простору ЄС”</w:t>
      </w:r>
    </w:p>
    <w:p>
      <w:pPr/>
      <w:r>
        <w:rPr>
          <w:b w:val="1"/>
          <w:bCs w:val="1"/>
        </w:rPr>
        <w:t xml:space="preserve">Показники результативності: </w:t>
      </w:r>
    </w:p>
    <w:p>
      <w:pPr>
        <w:numPr>
          <w:ilvl w:val="0"/>
          <w:numId w:val="1"/>
        </w:numPr>
      </w:pPr>
      <w:r>
        <w:rPr/>
        <w:t xml:space="preserve">Висока динаміка секторальної інтеграції України у пріоритетних секторах та поступове відкриття ринків</w:t>
      </w:r>
    </w:p>
    <w:p>
      <w:pPr/>
      <w:r>
        <w:rPr>
          <w:b w:val="1"/>
          <w:bCs w:val="1"/>
        </w:rPr>
        <w:t xml:space="preserve">Завдання до підцілі 3: </w:t>
      </w:r>
    </w:p>
    <w:p>
      <w:pPr>
        <w:numPr>
          <w:ilvl w:val="0"/>
          <w:numId w:val="1"/>
        </w:numPr>
      </w:pPr>
      <w:r>
        <w:rPr/>
        <w:t xml:space="preserve">Досягнення необхідних домовленостей (операційні висновки, рішення) щодо подальшого поступу у секторальній інтеграції між Україною та ЄС у рамках проведення засідань двосторонніх органів асоціації Україна — ЄС</w:t>
      </w:r>
    </w:p>
    <w:p>
      <w:pPr>
        <w:numPr>
          <w:ilvl w:val="0"/>
          <w:numId w:val="1"/>
        </w:numPr>
      </w:pPr>
      <w:r>
        <w:rPr/>
        <w:t xml:space="preserve">Забезпечення постійної взаємодії з державами-членами ЄС з метою їх інформування про взаємні вигоди від поступової інтеграції України до економічного, енергетичного, цифрового, правового та культурного простору ЄС та заручення їх підтримкою при просуванні відповідних ініціатив в інституціях ЄС</w:t>
      </w:r>
    </w:p>
    <w:p>
      <w:pPr>
        <w:numPr>
          <w:ilvl w:val="0"/>
          <w:numId w:val="1"/>
        </w:numPr>
      </w:pPr>
      <w:r>
        <w:rPr/>
        <w:t xml:space="preserve">Створення міжвідомчих робочих груп з питань секторальної інтеграції України до економічного, енергетичного, цифрового, правового та культурного простору ЄС (затверджуються актом Кабінету Міністрів)</w:t>
      </w:r>
    </w:p>
    <w:p>
      <w:pPr>
        <w:numPr>
          <w:ilvl w:val="0"/>
          <w:numId w:val="1"/>
        </w:numPr>
      </w:pPr>
      <w:r>
        <w:rPr/>
        <w:t xml:space="preserve">Приєднання України до Конвенції про спільний режим транзиту</w:t>
      </w:r>
    </w:p>
    <w:p>
      <w:pPr>
        <w:numPr>
          <w:ilvl w:val="0"/>
          <w:numId w:val="1"/>
        </w:numPr>
      </w:pPr>
      <w:r>
        <w:rPr/>
        <w:t xml:space="preserve">Взаємне визнання інституту уповноваженого економічного оператора</w:t>
      </w:r>
    </w:p>
    <w:p>
      <w:pPr>
        <w:numPr>
          <w:ilvl w:val="0"/>
          <w:numId w:val="1"/>
        </w:numPr>
      </w:pPr>
      <w:r>
        <w:rPr/>
        <w:t xml:space="preserve">Створення умов для укладення Угоди про оцінку відповідності та прийнятність промислових товарів з ЄС</w:t>
      </w:r>
    </w:p>
    <w:p>
      <w:pPr>
        <w:numPr>
          <w:ilvl w:val="0"/>
          <w:numId w:val="1"/>
        </w:numPr>
      </w:pPr>
      <w:r>
        <w:rPr/>
        <w:t xml:space="preserve">Забезпечення правової еквівалентності та інституційної спроможності у сфері телекомунікаційних послуг відповідно до актуального права ЄС</w:t>
      </w:r>
    </w:p>
    <w:p>
      <w:pPr>
        <w:numPr>
          <w:ilvl w:val="0"/>
          <w:numId w:val="1"/>
        </w:numPr>
      </w:pPr>
      <w:r>
        <w:rPr/>
        <w:t xml:space="preserve">Створення умов для укладення угоди з ЄС про взаємне визнання електронних довірчих послуг</w:t>
      </w:r>
    </w:p>
    <w:p>
      <w:pPr>
        <w:numPr>
          <w:ilvl w:val="0"/>
          <w:numId w:val="1"/>
        </w:numPr>
      </w:pPr>
      <w:r>
        <w:rPr/>
        <w:t xml:space="preserve">Забезпечення правової еквівалентності та вжиття інфраструктурних заходів задля забезпечення інтеграції України до енергетичного ринку ЄС у секторах газу та електроенергії</w:t>
      </w:r>
    </w:p>
    <w:p>
      <w:pPr>
        <w:numPr>
          <w:ilvl w:val="0"/>
          <w:numId w:val="1"/>
        </w:numPr>
      </w:pPr>
      <w:r>
        <w:rPr/>
        <w:t xml:space="preserve">Забезпечення повноцінного залучення українського культурного середовища до професійного середовища ЄС, участь у майбутній програмі «Креативна Європа», залучення до програми «Європейські культурні столиці», розвиток міжлюдських контактів митців та реалізація успішного досвіду взаємного співробітництва</w:t>
      </w:r>
    </w:p>
    <w:p>
      <w:pPr>
        <w:numPr>
          <w:ilvl w:val="0"/>
          <w:numId w:val="1"/>
        </w:numPr>
      </w:pPr>
      <w:r>
        <w:rPr/>
        <w:t xml:space="preserve">Вжиття заходів з метою ратифікації Україною Конвенції про угоди про вибір суду та впровадження правової бази для поступового включення України до правових інструментів судового співробітництва ЄС</w:t>
      </w:r>
    </w:p>
    <w:p>
      <w:pPr/>
      <w:r>
        <w:rPr>
          <w:b w:val="1"/>
          <w:bCs w:val="1"/>
        </w:rPr>
        <w:t xml:space="preserve">2.4. Підціль 4 “Регіоналізація європейської інтеграції”</w:t>
      </w:r>
    </w:p>
    <w:p>
      <w:pPr/>
      <w:r>
        <w:rPr>
          <w:b w:val="1"/>
          <w:bCs w:val="1"/>
        </w:rPr>
        <w:t xml:space="preserve">Показники результативності: </w:t>
      </w:r>
    </w:p>
    <w:p>
      <w:pPr>
        <w:numPr>
          <w:ilvl w:val="0"/>
          <w:numId w:val="1"/>
        </w:numPr>
      </w:pPr>
      <w:r>
        <w:rPr/>
        <w:t xml:space="preserve">Функціонування єдиної інформаційної платформи для поширення офіційної інформації щодо впровадження поглибленого курсу інтеграції України до ЄС</w:t>
      </w:r>
    </w:p>
    <w:p>
      <w:pPr>
        <w:numPr>
          <w:ilvl w:val="0"/>
          <w:numId w:val="1"/>
        </w:numPr>
      </w:pPr>
      <w:r>
        <w:rPr/>
        <w:t xml:space="preserve">Якісна координація та об’єднання зусиль місцевих органів виконавчої влади та органів місцевого самоврядування, представників місцевого бізнесу, громадськості</w:t>
      </w:r>
    </w:p>
    <w:p>
      <w:pPr/>
      <w:r>
        <w:rPr>
          <w:b w:val="1"/>
          <w:bCs w:val="1"/>
        </w:rPr>
        <w:t xml:space="preserve">Завдання до підцілі 4: </w:t>
      </w:r>
    </w:p>
    <w:p>
      <w:pPr>
        <w:numPr>
          <w:ilvl w:val="0"/>
          <w:numId w:val="1"/>
        </w:numPr>
      </w:pPr>
      <w:r>
        <w:rPr/>
        <w:t xml:space="preserve">Забезпечення повноцінної реалізації в усіх регіонах України проекту щодо утворення та забезпечення функціонування «офісів євроінтеграції»</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Забезпечення своєчасного та належного виконання зобов’язань за Угодою про асоціацію</w:t>
            </w:r>
          </w:p>
        </w:tc>
        <w:tc>
          <w:tcPr>
            <w:vAlign w:val="center"/>
            <w:vMerge w:val="restart"/>
          </w:tcPr>
          <w:p>
            <w:pPr>
              <w:jc w:val="center"/>
            </w:pPr>
            <w:r>
              <w:rPr>
                <w:sz w:val="20"/>
                <w:szCs w:val="20"/>
              </w:rPr>
              <w:t xml:space="preserve">Проведення планування, моніторингу та оцінки результативності виконання Угоди про асоціацію, у тому числі наповнення публічної інформаційно-аналітичної системи «Пульс Угоди»</w:t>
            </w:r>
          </w:p>
        </w:tc>
        <w:tc>
          <w:tcPr>
            <w:vAlign w:val="center"/>
          </w:tcPr>
          <w:p>
            <w:pPr>
              <w:jc w:val="center"/>
            </w:pPr>
            <w:r>
              <w:rPr>
                <w:sz w:val="20"/>
                <w:szCs w:val="20"/>
              </w:rPr>
              <w:t xml:space="preserve">Забезпечення здійснення перекладу актів acquis ЄС на українську мову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Урядовий офіс координації європейської та євроатлантичної інтеграції; інші заінтересовані органи державної влади</w:t>
            </w:r>
          </w:p>
        </w:tc>
      </w:tr>
      <w:tr>
        <w:trPr/>
        <w:tc>
          <w:tcPr>
            <w:vMerge w:val="continue"/>
          </w:tcPr>
          <w:p/>
        </w:tc>
        <w:tc>
          <w:tcPr>
            <w:vMerge w:val="continue"/>
          </w:tcPr>
          <w:p/>
        </w:tc>
        <w:tc>
          <w:tcPr>
            <w:vAlign w:val="center"/>
          </w:tcPr>
          <w:p>
            <w:pPr>
              <w:jc w:val="center"/>
            </w:pPr>
            <w:r>
              <w:rPr>
                <w:sz w:val="20"/>
                <w:szCs w:val="20"/>
              </w:rPr>
              <w:t xml:space="preserve">Аналіз щоквартальних звітів з реалізації плану заходів з виконання Угоди про асоціацію</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Визначення статусу виконання завдань та заходів; передбачених планом заходів з виконання Угоди про асоціацію</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Наповнення інформаційно-аналітичної системи з виконання Угоди про асоціацію «Пульс Угоди»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Урядовий офіс координації європейської та євроатлантичної інтеграції</w:t>
            </w:r>
          </w:p>
        </w:tc>
      </w:tr>
      <w:tr>
        <w:trPr/>
        <w:tc>
          <w:tcPr>
            <w:vMerge w:val="continue"/>
          </w:tcPr>
          <w:p/>
        </w:tc>
        <w:tc>
          <w:tcPr>
            <w:vAlign w:val="center"/>
            <w:vMerge w:val="restart"/>
          </w:tcPr>
          <w:p>
            <w:pPr>
              <w:jc w:val="center"/>
            </w:pPr>
            <w:r>
              <w:rPr>
                <w:sz w:val="20"/>
                <w:szCs w:val="20"/>
              </w:rPr>
              <w:t xml:space="preserve">Вжиття координаційних заходів з виконання Угоди про асоціацію та надання методологічної допомоги центральним органам виконавчої влади</w:t>
            </w:r>
          </w:p>
        </w:tc>
        <w:tc>
          <w:tcPr>
            <w:vAlign w:val="center"/>
            <w:vMerge w:val="restart"/>
          </w:tcPr>
          <w:p>
            <w:pPr>
              <w:jc w:val="center"/>
            </w:pPr>
            <w:r>
              <w:rPr/>
              <w:t xml:space="preserve"/>
            </w:r>
          </w:p>
        </w:tc>
        <w:tc>
          <w:tcPr>
            <w:vAlign w:val="center"/>
            <w:vMerge w:val="restart"/>
          </w:tcPr>
          <w:p>
            <w:pPr>
              <w:jc w:val="center"/>
            </w:pPr>
            <w:r>
              <w:rPr/>
              <w:t xml:space="preserve"/>
            </w:r>
          </w:p>
        </w:tc>
        <w:tc>
          <w:tcPr>
            <w:vAlign w:val="center"/>
            <w:vMerge w:val="restart"/>
          </w:tcPr>
          <w:p>
            <w:pPr>
              <w:jc w:val="center"/>
            </w:pPr>
            <w:r>
              <w:rPr/>
              <w:t xml:space="preserve"/>
            </w:r>
          </w:p>
        </w:tc>
        <w:tc>
          <w:tcPr>
            <w:vAlign w:val="center"/>
            <w:vMerge w:val="restart"/>
          </w:tcPr>
          <w:p>
            <w:pPr>
              <w:jc w:val="center"/>
            </w:pPr>
            <w:r>
              <w:rPr/>
              <w:t xml:space="preserve"/>
            </w:r>
          </w:p>
        </w:tc>
      </w:tr>
      <w:tr>
        <w:trPr/>
        <w:tc>
          <w:tcPr>
            <w:vAlign w:val="center"/>
            <w:vMerge w:val="restart"/>
          </w:tcPr>
          <w:p>
            <w:pPr>
              <w:jc w:val="center"/>
            </w:pPr>
            <w:r>
              <w:rPr>
                <w:sz w:val="20"/>
                <w:szCs w:val="20"/>
              </w:rPr>
              <w:t xml:space="preserve">Оновлення Угоди про асоціацію</w:t>
            </w:r>
          </w:p>
        </w:tc>
        <w:tc>
          <w:tcPr>
            <w:vAlign w:val="center"/>
            <w:vMerge w:val="restart"/>
          </w:tcPr>
          <w:p>
            <w:pPr>
              <w:jc w:val="center"/>
            </w:pPr>
            <w:r>
              <w:rPr>
                <w:sz w:val="20"/>
                <w:szCs w:val="20"/>
              </w:rPr>
              <w:t xml:space="preserve">Розроблення та прийняття рішень органами асоціації щодо внесення змін до Угоди про асоціацію, зокрема до Додатків I-A, XV, XVII-2, XVII-3, XVII-4, XVII-5, XXII-A, XXVIII, XXX, XXXI, XXXII, XXXIV—XLI</w:t>
            </w:r>
          </w:p>
        </w:tc>
        <w:tc>
          <w:tcPr>
            <w:vAlign w:val="center"/>
          </w:tcPr>
          <w:p>
            <w:pPr>
              <w:jc w:val="center"/>
            </w:pPr>
            <w:r>
              <w:rPr>
                <w:sz w:val="20"/>
                <w:szCs w:val="20"/>
              </w:rPr>
              <w:t xml:space="preserve">Підготовка пропозицій щодо оновлення Угоди про асоціацію</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Мін’юст; МЗС; Мінекономіки; Мінфін; Мінінфраструктури; Мінрегіонбуд; Мінцифри; МВС; Національний банк (за згодою); НЦКПФР (за згодою); Нацкомфінпослуг (за згодою); Фонд гарантування вкладів фізичних осіб (за згодою); інші заінтересовані органи державної  влади;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Опрацювання пропозицій зі Стороною ЄС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Мін’юст; МЗС; Мінекономіки; Мінфін; Мінінфрастуктури; Мінрегіон; Мінцифри; МВС; Національний банк (за згодою); НЦКПФР (за згодою); Нацкомфінпослуг (за згодою); Фонд гарантування вкладів фізичних осіб (за згодою); інші заінтересовані органи державної  влади;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Прийняття відповідних рішень в рамках органів асоціації між Україною та ЄС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Мінекоенерго; Мін’юст; МЗС; Мінекономіки; Мінфін; Мінінфраструктури; Мінрегіон; Мінцифри; МВС; Національний банк (за згодою); НЦКПФР (за згодою); Нацкомфінпослуг (за згодою); Фонд гарантування вкладів фізичних осіб (за згодою); інші заінтересовані органи державної  влади; Урядовий офіс координації європейської та євроатлантичної інтеграції</w:t>
            </w:r>
          </w:p>
        </w:tc>
      </w:tr>
      <w:tr>
        <w:trPr/>
        <w:tc>
          <w:tcPr>
            <w:vMerge w:val="continue"/>
          </w:tcPr>
          <w:p/>
        </w:tc>
        <w:tc>
          <w:tcPr>
            <w:vAlign w:val="center"/>
            <w:vMerge w:val="restart"/>
          </w:tcPr>
          <w:p>
            <w:pPr>
              <w:jc w:val="center"/>
            </w:pPr>
            <w:r>
              <w:rPr>
                <w:sz w:val="20"/>
                <w:szCs w:val="20"/>
              </w:rPr>
              <w:t xml:space="preserve">Включення нового додатку у сфері юстиції, свободи та безпеки до Угоди про асоціацію</w:t>
            </w:r>
          </w:p>
        </w:tc>
        <w:tc>
          <w:tcPr>
            <w:vAlign w:val="center"/>
          </w:tcPr>
          <w:p>
            <w:pPr>
              <w:jc w:val="center"/>
            </w:pPr>
            <w:r>
              <w:rPr>
                <w:sz w:val="20"/>
                <w:szCs w:val="20"/>
              </w:rPr>
              <w:t xml:space="preserve">Опрацювання з Стороною ЄС питання щодо включення нового додатку у сфері юстиції, свободи та безпеки до Угоди про асоціацію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МЗС; Мін'юст; Мінцифри; МВС; інші заінтересовані органи державної влади;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Прийняття відповідних рішень в рамках органів асоціації між Україною та ЄС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МЗС; Мін'юст; Мінцифри; МВС; інші заінтересовані органи державної влади; Урядовий офіс координації європейської та євроатлантичної інтеграції</w:t>
            </w:r>
          </w:p>
        </w:tc>
      </w:tr>
      <w:tr>
        <w:trPr/>
        <w:tc>
          <w:tcPr>
            <w:vAlign w:val="center"/>
            <w:vMerge w:val="restart"/>
          </w:tcPr>
          <w:p>
            <w:pPr>
              <w:jc w:val="center"/>
            </w:pPr>
            <w:r>
              <w:rPr>
                <w:sz w:val="20"/>
                <w:szCs w:val="20"/>
              </w:rPr>
              <w:t xml:space="preserve">Підвищення рівня залученості Європейської Комісії до виконання Угоди про асоціацію завдяки створенню необхідних умов для забезпечення секторальної інтеграції України з ЄС, зокрема до економічного, енергетичного, цифрового, правового та культурного простору ЄС</w:t>
            </w:r>
          </w:p>
        </w:tc>
        <w:tc>
          <w:tcPr>
            <w:vAlign w:val="center"/>
            <w:vMerge w:val="restart"/>
          </w:tcPr>
          <w:p>
            <w:pPr>
              <w:jc w:val="center"/>
            </w:pPr>
            <w:r>
              <w:rPr>
                <w:sz w:val="20"/>
                <w:szCs w:val="20"/>
              </w:rPr>
              <w:t xml:space="preserve">Досягнення необхідних домовленостей (операційні висновки, рішення) щодо подальшого поступу у секторальній інтеграції між Україною та ЄС у рамках проведення засідань двосторонніх органів асоціації Україна — ЄС</w:t>
            </w:r>
          </w:p>
        </w:tc>
        <w:tc>
          <w:tcPr>
            <w:vAlign w:val="center"/>
          </w:tcPr>
          <w:p>
            <w:pPr>
              <w:jc w:val="center"/>
            </w:pPr>
            <w:r>
              <w:rPr>
                <w:sz w:val="20"/>
                <w:szCs w:val="20"/>
              </w:rPr>
              <w:t xml:space="preserve">Проведення усіх засідань двосторонніх органів асоціації між Україною та ЄС згідно з графіком, погодженим між Українською Стороною та Стороною ЄС</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Урядовий офіс координації європейської та євроатлантичної інтеграції; інші заінтересовані органи державної влади</w:t>
            </w:r>
          </w:p>
        </w:tc>
      </w:tr>
      <w:tr>
        <w:trPr/>
        <w:tc>
          <w:tcPr>
            <w:vMerge w:val="continue"/>
          </w:tcPr>
          <w:p/>
        </w:tc>
        <w:tc>
          <w:tcPr>
            <w:vMerge w:val="continue"/>
          </w:tcPr>
          <w:p/>
        </w:tc>
        <w:tc>
          <w:tcPr>
            <w:vAlign w:val="center"/>
          </w:tcPr>
          <w:p>
            <w:pPr>
              <w:jc w:val="center"/>
            </w:pPr>
            <w:r>
              <w:rPr>
                <w:sz w:val="20"/>
                <w:szCs w:val="20"/>
              </w:rPr>
              <w:t xml:space="preserve">Узгодження операційних висновків/прийнят-тя рішень за результатами таких засідань</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Урядовий офіс координації європейської та євроатлантичної інтеграції; інші заінтересовані органи державної влади</w:t>
            </w:r>
          </w:p>
        </w:tc>
      </w:tr>
      <w:tr>
        <w:trPr/>
        <w:tc>
          <w:tcPr>
            <w:vMerge w:val="continue"/>
          </w:tcPr>
          <w:p/>
        </w:tc>
        <w:tc>
          <w:tcPr>
            <w:vAlign w:val="center"/>
            <w:vMerge w:val="restart"/>
          </w:tcPr>
          <w:p>
            <w:pPr>
              <w:jc w:val="center"/>
            </w:pPr>
            <w:r>
              <w:rPr>
                <w:sz w:val="20"/>
                <w:szCs w:val="20"/>
              </w:rPr>
              <w:t xml:space="preserve">Забезпечення постійної взаємодії з державами-членами ЄС з метою їх інформування про взаємні вигоди від поступової інтеграції України до економічного, енергетичного, цифрового, правового та культурного простору ЄС та заручення їх підтримкою при просуванні відповідних ініціатив в інституціях ЄС</w:t>
            </w:r>
          </w:p>
        </w:tc>
        <w:tc>
          <w:tcPr>
            <w:vAlign w:val="center"/>
          </w:tcPr>
          <w:p>
            <w:pPr>
              <w:jc w:val="center"/>
            </w:pPr>
            <w:r>
              <w:rPr>
                <w:sz w:val="20"/>
                <w:szCs w:val="20"/>
              </w:rPr>
              <w:t xml:space="preserve">Розробка концепції щодо постійної взаємодії з державами-членами ЄС з питань взаємної вигоди від поступової інтеграції України до економічного, енергетичного, цифрового, правового та культурного простору ЄС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МЗС;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Реалізація концепції щодо постійної взаємодії з державами-членами ЄС з питань взаємної вигоди від поступової інтеграції України до економічного, енергетичного, цифрового, правового та культурного простору ЄС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МЗС; Урядовий офіс координації європейської та євроатлантичної інтеграції; інші заінтересовані органи державної влади</w:t>
            </w:r>
          </w:p>
        </w:tc>
      </w:tr>
      <w:tr>
        <w:trPr/>
        <w:tc>
          <w:tcPr>
            <w:vMerge w:val="continue"/>
          </w:tcPr>
          <w:p/>
        </w:tc>
        <w:tc>
          <w:tcPr>
            <w:vAlign w:val="center"/>
            <w:vMerge w:val="restart"/>
          </w:tcPr>
          <w:p>
            <w:pPr>
              <w:jc w:val="center"/>
            </w:pPr>
            <w:r>
              <w:rPr>
                <w:sz w:val="20"/>
                <w:szCs w:val="20"/>
              </w:rPr>
              <w:t xml:space="preserve">Створення міжвідомчих робочих груп з питань секторальної інтеграції України до економічного, енергетичного, цифрового, правового та культурного простору ЄС (затверджуються актом Кабінету Міністрів)</w:t>
            </w:r>
          </w:p>
        </w:tc>
        <w:tc>
          <w:tcPr>
            <w:vAlign w:val="center"/>
          </w:tcPr>
          <w:p>
            <w:pPr>
              <w:jc w:val="center"/>
            </w:pPr>
            <w:r>
              <w:rPr>
                <w:sz w:val="20"/>
                <w:szCs w:val="20"/>
              </w:rPr>
              <w:t xml:space="preserve">Розроблення проекту акта про створення відповідних робочих груп та їх персональний склад</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Затвердження проекту акта Кабінетом Міністрів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Урядовий офіс координації європейської та євроатлантичної інтеграції</w:t>
            </w:r>
          </w:p>
        </w:tc>
      </w:tr>
      <w:tr>
        <w:trPr/>
        <w:tc>
          <w:tcPr>
            <w:vMerge w:val="continue"/>
          </w:tcPr>
          <w:p/>
        </w:tc>
        <w:tc>
          <w:tcPr>
            <w:vAlign w:val="center"/>
            <w:vMerge w:val="restart"/>
          </w:tcPr>
          <w:p>
            <w:pPr>
              <w:jc w:val="center"/>
            </w:pPr>
            <w:r>
              <w:rPr>
                <w:sz w:val="20"/>
                <w:szCs w:val="20"/>
              </w:rPr>
              <w:t xml:space="preserve">Приєднання України до Конвенції про спільний режим транзиту</w:t>
            </w:r>
          </w:p>
        </w:tc>
        <w:tc>
          <w:tcPr>
            <w:vAlign w:val="center"/>
          </w:tcPr>
          <w:p>
            <w:pPr>
              <w:jc w:val="center"/>
            </w:pPr>
            <w:r>
              <w:rPr>
                <w:sz w:val="20"/>
                <w:szCs w:val="20"/>
              </w:rPr>
              <w:t xml:space="preserve">Тестування національного компоненту комп'ютеризованої системи митного оформлення товарів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Мінфін; МЗС; ДПС;  Держмитслужба;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Проведення оціночної місії ЄС щодо стану готовності України до приєднання до Конвенції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Мінфін; МЗС; ДПС;  Держмитслужба; Урядовий офіс координації європейської та євроатлантичної інтеграції</w:t>
            </w:r>
          </w:p>
        </w:tc>
      </w:tr>
      <w:tr>
        <w:trPr/>
        <w:tc>
          <w:tcPr>
            <w:vMerge w:val="continue"/>
          </w:tcPr>
          <w:p/>
        </w:tc>
        <w:tc>
          <w:tcPr>
            <w:vAlign w:val="center"/>
            <w:vMerge w:val="restart"/>
          </w:tcPr>
          <w:p>
            <w:pPr>
              <w:jc w:val="center"/>
            </w:pPr>
            <w:r>
              <w:rPr>
                <w:sz w:val="20"/>
                <w:szCs w:val="20"/>
              </w:rPr>
              <w:t xml:space="preserve">Взаємне визнання інституту уповноваженого економічного оператора</w:t>
            </w:r>
          </w:p>
        </w:tc>
        <w:tc>
          <w:tcPr>
            <w:vAlign w:val="center"/>
          </w:tcPr>
          <w:p>
            <w:pPr>
              <w:jc w:val="center"/>
            </w:pPr>
            <w:r>
              <w:rPr>
                <w:sz w:val="20"/>
                <w:szCs w:val="20"/>
              </w:rPr>
              <w:t xml:space="preserve">Проведення консультацій зі Стороною ЄС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Мінфін; МЗС;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Прийняття двостороннього рішення між Україною та ЄС про взаємне визнання інституту авторизованого економічного оператора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Мінфін; МЗС; Урядовий офіс координації європейської та євроатлантичної інтеграції</w:t>
            </w:r>
          </w:p>
        </w:tc>
      </w:tr>
      <w:tr>
        <w:trPr/>
        <w:tc>
          <w:tcPr>
            <w:vMerge w:val="continue"/>
          </w:tcPr>
          <w:p/>
        </w:tc>
        <w:tc>
          <w:tcPr>
            <w:vAlign w:val="center"/>
            <w:vMerge w:val="restart"/>
          </w:tcPr>
          <w:p>
            <w:pPr>
              <w:jc w:val="center"/>
            </w:pPr>
            <w:r>
              <w:rPr>
                <w:sz w:val="20"/>
                <w:szCs w:val="20"/>
              </w:rPr>
              <w:t xml:space="preserve">Створення умов для укладення Угоди про оцінку відповідності та прийнятність промислових товарів з ЄС</w:t>
            </w:r>
          </w:p>
        </w:tc>
        <w:tc>
          <w:tcPr>
            <w:vAlign w:val="center"/>
          </w:tcPr>
          <w:p>
            <w:pPr>
              <w:jc w:val="center"/>
            </w:pPr>
            <w:r>
              <w:rPr>
                <w:sz w:val="20"/>
                <w:szCs w:val="20"/>
              </w:rPr>
              <w:t xml:space="preserve">Розроблення законодавства, необхідного для забезпечення правової еквівалентності у сфері технічного регулювання та ринкового нагляду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Мінекономіки</w:t>
            </w:r>
          </w:p>
        </w:tc>
      </w:tr>
      <w:tr>
        <w:trPr/>
        <w:tc>
          <w:tcPr>
            <w:vMerge w:val="continue"/>
          </w:tcPr>
          <w:p/>
        </w:tc>
        <w:tc>
          <w:tcPr>
            <w:vMerge w:val="continue"/>
          </w:tcPr>
          <w:p/>
        </w:tc>
        <w:tc>
          <w:tcPr>
            <w:vAlign w:val="center"/>
          </w:tcPr>
          <w:p>
            <w:pPr>
              <w:jc w:val="center"/>
            </w:pPr>
            <w:r>
              <w:rPr>
                <w:sz w:val="20"/>
                <w:szCs w:val="20"/>
              </w:rPr>
              <w:t xml:space="preserve">Оновлення дорожньої карти щодо укладення Угоди АСАА та передача її Стороні ЄС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Мінекономіки</w:t>
            </w:r>
          </w:p>
        </w:tc>
      </w:tr>
      <w:tr>
        <w:trPr/>
        <w:tc>
          <w:tcPr>
            <w:vMerge w:val="continue"/>
          </w:tcPr>
          <w:p/>
        </w:tc>
        <w:tc>
          <w:tcPr>
            <w:vMerge w:val="continue"/>
          </w:tcPr>
          <w:p/>
        </w:tc>
        <w:tc>
          <w:tcPr>
            <w:vAlign w:val="center"/>
          </w:tcPr>
          <w:p>
            <w:pPr>
              <w:jc w:val="center"/>
            </w:pPr>
            <w:r>
              <w:rPr>
                <w:sz w:val="20"/>
                <w:szCs w:val="20"/>
              </w:rPr>
              <w:t xml:space="preserve">Забезпечення роботи місії ЄС з оцінки стану наближення законодавства та інституційної спроможності у сфері технічного регулювання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Мінекономіки</w:t>
            </w:r>
          </w:p>
        </w:tc>
      </w:tr>
      <w:tr>
        <w:trPr/>
        <w:tc>
          <w:tcPr>
            <w:vMerge w:val="continue"/>
          </w:tcPr>
          <w:p/>
        </w:tc>
        <w:tc>
          <w:tcPr>
            <w:vMerge w:val="continue"/>
          </w:tcPr>
          <w:p/>
        </w:tc>
        <w:tc>
          <w:tcPr>
            <w:vAlign w:val="center"/>
          </w:tcPr>
          <w:p>
            <w:pPr>
              <w:jc w:val="center"/>
            </w:pPr>
            <w:r>
              <w:rPr>
                <w:sz w:val="20"/>
                <w:szCs w:val="20"/>
              </w:rPr>
              <w:t xml:space="preserve">Подання запиту Стороні ЄС щодо укладення Угоди АСАА за позитивної оцінки місії ЄС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Мінекономіки</w:t>
            </w:r>
          </w:p>
        </w:tc>
      </w:tr>
      <w:tr>
        <w:trPr/>
        <w:tc>
          <w:tcPr>
            <w:vMerge w:val="continue"/>
          </w:tcPr>
          <w:p/>
        </w:tc>
        <w:tc>
          <w:tcPr>
            <w:vAlign w:val="center"/>
            <w:vMerge w:val="restart"/>
          </w:tcPr>
          <w:p>
            <w:pPr>
              <w:jc w:val="center"/>
            </w:pPr>
            <w:r>
              <w:rPr>
                <w:sz w:val="20"/>
                <w:szCs w:val="20"/>
              </w:rPr>
              <w:t xml:space="preserve">Забезпечення правової еквівалентності та інституційної спроможності у сфері телекомунікаційних послуг відповідно до актуального права ЄС</w:t>
            </w:r>
          </w:p>
        </w:tc>
        <w:tc>
          <w:tcPr>
            <w:vAlign w:val="center"/>
          </w:tcPr>
          <w:p>
            <w:pPr>
              <w:jc w:val="center"/>
            </w:pPr>
            <w:r>
              <w:rPr>
                <w:sz w:val="20"/>
                <w:szCs w:val="20"/>
              </w:rPr>
              <w:t xml:space="preserve">Прийняття закону, який імплементує Європейський кодекс електронних комунікацій 2018 року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Мінцифри; МЗС; Мін'юст; Мінекономіки; Урядовий офіс координації європейської та євроатлантичної інтеграції; Адміністрація Держспецзв'язку; НКРЗІ (за згодою)</w:t>
            </w:r>
          </w:p>
        </w:tc>
      </w:tr>
      <w:tr>
        <w:trPr/>
        <w:tc>
          <w:tcPr>
            <w:vMerge w:val="continue"/>
          </w:tcPr>
          <w:p/>
        </w:tc>
        <w:tc>
          <w:tcPr>
            <w:vMerge w:val="continue"/>
          </w:tcPr>
          <w:p/>
        </w:tc>
        <w:tc>
          <w:tcPr>
            <w:vAlign w:val="center"/>
          </w:tcPr>
          <w:p>
            <w:pPr>
              <w:jc w:val="center"/>
            </w:pPr>
            <w:r>
              <w:rPr>
                <w:sz w:val="20"/>
                <w:szCs w:val="20"/>
              </w:rPr>
              <w:t xml:space="preserve">Прийняття рішення двосторонніх органів асоціації щодо оновлення Доповнення XVII-3 до Угоди про асоціацію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Мінекономіки; Мінцифри; МЗС; Мін'юст; Урядовий офіс координації європейської та євроатлантичної інтеграції; Адміністрація Держспецзв'язку; НКРЗІ (за згодою)</w:t>
            </w:r>
          </w:p>
        </w:tc>
      </w:tr>
      <w:tr>
        <w:trPr/>
        <w:tc>
          <w:tcPr>
            <w:vMerge w:val="continue"/>
          </w:tcPr>
          <w:p/>
        </w:tc>
        <w:tc>
          <w:tcPr>
            <w:vMerge w:val="continue"/>
          </w:tcPr>
          <w:p/>
        </w:tc>
        <w:tc>
          <w:tcPr>
            <w:vAlign w:val="center"/>
          </w:tcPr>
          <w:p>
            <w:pPr>
              <w:jc w:val="center"/>
            </w:pPr>
            <w:r>
              <w:rPr>
                <w:sz w:val="20"/>
                <w:szCs w:val="20"/>
              </w:rPr>
              <w:t xml:space="preserve">Перевірка принципів діяльності НКРЗІ з метою виявлення та усунення прогалин у роботі з точки зору відповідності європейським підходам та правилам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Мінцифри; МЗС; Мін'юст; Урядовий офіс координації європейської та євроатлантичної інтеграції; Адміністрація Держспецзв'язку; НКРЗІ (за згодою)</w:t>
            </w:r>
          </w:p>
        </w:tc>
      </w:tr>
      <w:tr>
        <w:trPr/>
        <w:tc>
          <w:tcPr>
            <w:vMerge w:val="continue"/>
          </w:tcPr>
          <w:p/>
        </w:tc>
        <w:tc>
          <w:tcPr>
            <w:vAlign w:val="center"/>
            <w:vMerge w:val="restart"/>
          </w:tcPr>
          <w:p>
            <w:pPr>
              <w:jc w:val="center"/>
            </w:pPr>
            <w:r>
              <w:rPr>
                <w:sz w:val="20"/>
                <w:szCs w:val="20"/>
              </w:rPr>
              <w:t xml:space="preserve">Створення умов для укладення угоди з ЄС про взаємне визнання електронних довірчих послуг</w:t>
            </w:r>
          </w:p>
        </w:tc>
        <w:tc>
          <w:tcPr>
            <w:vAlign w:val="center"/>
          </w:tcPr>
          <w:p>
            <w:pPr>
              <w:jc w:val="center"/>
            </w:pPr>
            <w:r>
              <w:rPr>
                <w:sz w:val="20"/>
                <w:szCs w:val="20"/>
              </w:rPr>
              <w:t xml:space="preserve">Здійснення самооцінки стану правового наближення у сфері електронної ідентифікації та довірчих послуг, її представлення Стороні ЄС в рамках двосторонніх органів асоціації, здійснення запиту щодо визначення відповідальної контактної особи від Сторони ЄС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Мінцифри;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Створення умов для приїзду місії ЄС з метою оцінки стану правового наближення у сфері електронної ідентифікації та довірчих послуг та інституційної спроможності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Мінцифри;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Досягнення позитивної динаміки переговорного процесу щодо укладення з ЄС Угоди про взаємне визнання довірчих послуг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Мінцифри; Мін'юст; МЗС; Урядовий офіс координації європейської та євроатлантичної інтеграції</w:t>
            </w:r>
          </w:p>
        </w:tc>
      </w:tr>
      <w:tr>
        <w:trPr/>
        <w:tc>
          <w:tcPr>
            <w:vMerge w:val="continue"/>
          </w:tcPr>
          <w:p/>
        </w:tc>
        <w:tc>
          <w:tcPr>
            <w:vAlign w:val="center"/>
            <w:vMerge w:val="restart"/>
          </w:tcPr>
          <w:p>
            <w:pPr>
              <w:jc w:val="center"/>
            </w:pPr>
            <w:r>
              <w:rPr>
                <w:sz w:val="20"/>
                <w:szCs w:val="20"/>
              </w:rPr>
              <w:t xml:space="preserve">Забезпечення правової еквівалентності та вжиття інфраструктурних заходів задля забезпечення інтеграції України до енергетичного ринку ЄС у секторах газу та електроенергії</w:t>
            </w:r>
          </w:p>
        </w:tc>
        <w:tc>
          <w:tcPr>
            <w:vAlign w:val="center"/>
          </w:tcPr>
          <w:p>
            <w:pPr>
              <w:jc w:val="center"/>
            </w:pPr>
            <w:r>
              <w:rPr>
                <w:sz w:val="20"/>
                <w:szCs w:val="20"/>
              </w:rPr>
              <w:t xml:space="preserve">Максимальне наближення національного законодавства до права ЄС, зокрема, відповідно до оновленого Додатку XXVII до Угоди про асоціацію, виконання заходів, передбачених оновленим планом заходів з виконання Угоди про асоціацію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Мінекоенерго; МЗС; Мін'юст; Мінрегіон;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Розроблення дорожньої карти інтеграції України до енергетичного ринку ЄС у секторах газу та електроенергії, яка містититиме правовий та інфраструктурних компоненти, передача її Стороні ЄС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Мінекоенерго; МЗС; Мін'юст; Мінрегіон; Урядовий офіс координації європейської та євроатлантичної інтеграції</w:t>
            </w:r>
          </w:p>
        </w:tc>
      </w:tr>
      <w:tr>
        <w:trPr/>
        <w:tc>
          <w:tcPr>
            <w:vMerge w:val="continue"/>
          </w:tcPr>
          <w:p/>
        </w:tc>
        <w:tc>
          <w:tcPr>
            <w:vAlign w:val="center"/>
            <w:vMerge w:val="restart"/>
          </w:tcPr>
          <w:p>
            <w:pPr>
              <w:jc w:val="center"/>
            </w:pPr>
            <w:r>
              <w:rPr>
                <w:sz w:val="20"/>
                <w:szCs w:val="20"/>
              </w:rPr>
              <w:t xml:space="preserve">Забезпечення повноцінного залучення українського культурного середовища до професійного середовища ЄС, участь у майбутній програмі «Креативна Європа», залучення до програми «Європейські культурні столиці», розвиток міжлюдських контактів митців та реалізація успішного досвіду взаємного співробітництва</w:t>
            </w:r>
          </w:p>
        </w:tc>
        <w:tc>
          <w:tcPr>
            <w:vAlign w:val="center"/>
          </w:tcPr>
          <w:p>
            <w:pPr>
              <w:jc w:val="center"/>
            </w:pPr>
            <w:r>
              <w:rPr>
                <w:sz w:val="20"/>
                <w:szCs w:val="20"/>
              </w:rPr>
              <w:t xml:space="preserve">Участь у відповідних програмах ЄС щодо залучення українського культурного середовища до професійного середовища ЄС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МКМС; МЗС;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Укладання угоди щодо приєднання до програми «Креативна Європа»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МКМС; МЗС</w:t>
            </w:r>
          </w:p>
        </w:tc>
      </w:tr>
      <w:tr>
        <w:trPr/>
        <w:tc>
          <w:tcPr>
            <w:vMerge w:val="continue"/>
          </w:tcPr>
          <w:p/>
        </w:tc>
        <w:tc>
          <w:tcPr>
            <w:vMerge w:val="continue"/>
          </w:tcPr>
          <w:p/>
        </w:tc>
        <w:tc>
          <w:tcPr>
            <w:vAlign w:val="center"/>
          </w:tcPr>
          <w:p>
            <w:pPr>
              <w:jc w:val="center"/>
            </w:pPr>
            <w:r>
              <w:rPr>
                <w:sz w:val="20"/>
                <w:szCs w:val="20"/>
              </w:rPr>
              <w:t xml:space="preserve">Укладання угоди щодо приєднання до програми «Європейські культурні столиці»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МКМС; МЗС</w:t>
            </w:r>
          </w:p>
        </w:tc>
      </w:tr>
      <w:tr>
        <w:trPr/>
        <w:tc>
          <w:tcPr>
            <w:vMerge w:val="continue"/>
          </w:tcPr>
          <w:p/>
        </w:tc>
        <w:tc>
          <w:tcPr>
            <w:vAlign w:val="center"/>
            <w:vMerge w:val="restart"/>
          </w:tcPr>
          <w:p>
            <w:pPr>
              <w:jc w:val="center"/>
            </w:pPr>
            <w:r>
              <w:rPr>
                <w:sz w:val="20"/>
                <w:szCs w:val="20"/>
              </w:rPr>
              <w:t xml:space="preserve">Вжиття заходів з метою ратифікації Україною Конвенції про угоди про вибір суду та впровадження правової бази для поступового включення України до правових інструментів судового співробітництва ЄС</w:t>
            </w:r>
          </w:p>
        </w:tc>
        <w:tc>
          <w:tcPr>
            <w:vAlign w:val="center"/>
          </w:tcPr>
          <w:p>
            <w:pPr>
              <w:jc w:val="center"/>
            </w:pPr>
            <w:r>
              <w:rPr>
                <w:sz w:val="20"/>
                <w:szCs w:val="20"/>
              </w:rPr>
              <w:t xml:space="preserve">Ратифікація Конвенції про угоди про вибір суду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 ДСА; МЗС; Урядовий офіс координації європейської та євроатлантичної інтеграції</w:t>
            </w:r>
          </w:p>
        </w:tc>
      </w:tr>
      <w:tr>
        <w:trPr/>
        <w:tc>
          <w:tcPr>
            <w:vMerge w:val="continue"/>
          </w:tcPr>
          <w:p/>
        </w:tc>
        <w:tc>
          <w:tcPr>
            <w:vMerge w:val="continue"/>
          </w:tcPr>
          <w:p/>
        </w:tc>
        <w:tc>
          <w:tcPr>
            <w:vAlign w:val="center"/>
          </w:tcPr>
          <w:p>
            <w:pPr>
              <w:jc w:val="center"/>
            </w:pPr>
            <w:r>
              <w:rPr>
                <w:sz w:val="20"/>
                <w:szCs w:val="20"/>
              </w:rPr>
              <w:t xml:space="preserve">Розвиток співробітництва між Україною та Європейською судовою мережею у цивільних і комерційних справах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 ДСА; МЗС; Урядовий офіс координації європейської та євроатлантичної інтеграції</w:t>
            </w:r>
          </w:p>
        </w:tc>
      </w:tr>
      <w:tr>
        <w:trPr/>
        <w:tc>
          <w:tcPr>
            <w:vAlign w:val="center"/>
            <w:vMerge w:val="restart"/>
          </w:tcPr>
          <w:p>
            <w:pPr>
              <w:jc w:val="center"/>
            </w:pPr>
            <w:r>
              <w:rPr>
                <w:sz w:val="20"/>
                <w:szCs w:val="20"/>
              </w:rPr>
              <w:t xml:space="preserve">Регіоналізація європейської інтеграції</w:t>
            </w:r>
          </w:p>
        </w:tc>
        <w:tc>
          <w:tcPr>
            <w:vAlign w:val="center"/>
            <w:vMerge w:val="restart"/>
          </w:tcPr>
          <w:p>
            <w:pPr>
              <w:jc w:val="center"/>
            </w:pPr>
            <w:r>
              <w:rPr>
                <w:sz w:val="20"/>
                <w:szCs w:val="20"/>
              </w:rPr>
              <w:t xml:space="preserve">Забезпечення повноцінної реалізації в усіх регіонах України проекту щодо утворення та забезпечення функціонування «офісів євроінтеграції»</w:t>
            </w:r>
          </w:p>
        </w:tc>
        <w:tc>
          <w:tcPr>
            <w:vAlign w:val="center"/>
          </w:tcPr>
          <w:p>
            <w:pPr>
              <w:jc w:val="center"/>
            </w:pPr>
            <w:r>
              <w:rPr>
                <w:sz w:val="20"/>
                <w:szCs w:val="20"/>
              </w:rPr>
              <w:t xml:space="preserve">Реалізація експериментального проекту щодо утворення та забезпечення функціонування установи «Агенція регіонального розвитку «Офіс євроінтеграції» Херсонської області»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МЗС; Мінфін</w:t>
            </w:r>
          </w:p>
        </w:tc>
      </w:tr>
      <w:tr>
        <w:trPr/>
        <w:tc>
          <w:tcPr>
            <w:vMerge w:val="continue"/>
          </w:tcPr>
          <w:p/>
        </w:tc>
        <w:tc>
          <w:tcPr>
            <w:vMerge w:val="continue"/>
          </w:tcPr>
          <w:p/>
        </w:tc>
        <w:tc>
          <w:tcPr>
            <w:vAlign w:val="center"/>
          </w:tcPr>
          <w:p>
            <w:pPr>
              <w:jc w:val="center"/>
            </w:pPr>
            <w:r>
              <w:rPr>
                <w:sz w:val="20"/>
                <w:szCs w:val="20"/>
              </w:rPr>
              <w:t xml:space="preserve">Реалізація проекту щодо функціонування установ «Агенція регіонального розвитку «Офіс євроінтеграції» у всіх регіонах України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МЗС; Мінфін</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A7B470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 Id="rId9" Type="http://schemas.openxmlformats.org/officeDocument/2006/relationships/hyperlink" Target="https://www.ndi.org/sites/default/files/NDI_September%202019%20survey_Public_vf.pdf" TargetMode="External"/><Relationship Id="rId10" Type="http://schemas.openxmlformats.org/officeDocument/2006/relationships/hyperlink" Target="_ftn2" TargetMode="External"/><Relationship Id="rId11" Type="http://schemas.openxmlformats.org/officeDocument/2006/relationships/hyperlink" Target="_ftn3" TargetMode="External"/><Relationship Id="rId12" Type="http://schemas.openxmlformats.org/officeDocument/2006/relationships/hyperlink" Target="https://dif.org.ua/article/evropeyska-integratsiya-u-vimiri-gromadskoi-dumki" TargetMode="External"/><Relationship Id="rId13" Type="http://schemas.openxmlformats.org/officeDocument/2006/relationships/hyperlink" Target="_ftnref2" TargetMode="External"/><Relationship Id="rId14" Type="http://schemas.openxmlformats.org/officeDocument/2006/relationships/hyperlink" Target="https://www.kmu.gov.ua/news/72-ukrayinciv-potrebuyut-bilshe-informaciyi-pro-yes-ta-yevrointegraciyu-52-pro-nato" TargetMode="External"/><Relationship Id="rId15" Type="http://schemas.openxmlformats.org/officeDocument/2006/relationships/hyperlink" Target="_ftnref3" TargetMode="External"/><Relationship Id="rId16" Type="http://schemas.openxmlformats.org/officeDocument/2006/relationships/hyperlink" Target="http://ratinggroup.ua/files/ratinggroup/reg_files/rg_ua_062019_pr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2020-02-10T10:30:13+02:00</dcterms:created>
  <dcterms:modified xsi:type="dcterms:W3CDTF">2020-02-10T10:30:13+02:00</dcterms:modified>
</cp:coreProperties>
</file>

<file path=docProps/custom.xml><?xml version="1.0" encoding="utf-8"?>
<Properties xmlns="http://schemas.openxmlformats.org/officeDocument/2006/custom-properties" xmlns:vt="http://schemas.openxmlformats.org/officeDocument/2006/docPropsVTypes"/>
</file>