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2.1. «Люди менше хворіють»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Люди частіше хворіють через відсутність пріоритету на попередження хвороб</w:t>
      </w:r>
    </w:p>
    <w:p>
      <w:pPr/>
      <w:r>
        <w:rPr>
          <w:b w:val="1"/>
          <w:bCs w:val="1"/>
        </w:rPr>
        <w:t xml:space="preserve">1.2. Носій проблеми </w:t>
      </w:r>
    </w:p>
    <w:p>
      <w:pPr/>
      <w:r>
        <w:rPr/>
        <w:t xml:space="preserve">Громадяни України</w:t>
      </w:r>
    </w:p>
    <w:p>
      <w:pPr/>
      <w:r>
        <w:rPr>
          <w:b w:val="1"/>
          <w:bCs w:val="1"/>
        </w:rPr>
        <w:t xml:space="preserve">1.3. Масштаб проблеми: Загальнонаціональна</w:t>
      </w:r>
    </w:p>
    <w:p>
      <w:pPr/>
      <w:r>
        <w:rPr/>
        <w:t xml:space="preserve">У 2018 році кількість осіб, які повідомили, що хворіли за останні 12 місяців, становить 31 462 400 осіб, із них мають хронічні захворювання або проблеми зі здоров’ям - 15 011 100 осіб</w:t>
      </w:r>
    </w:p>
    <w:p>
      <w:pPr/>
      <w:r>
        <w:rPr>
          <w:b w:val="1"/>
          <w:bCs w:val="1"/>
        </w:rPr>
        <w:t xml:space="preserve">1.4. Гострота проблеми: Гостра</w:t>
      </w:r>
    </w:p>
    <w:p>
      <w:pPr/>
      <w:r>
        <w:rPr/>
        <w:t xml:space="preserve">В Україні зберігається надвисокий негативний рівень впливу факторів ризику, пов’язаних з неінфекційними захворюваннями на рівень захворюваності, смертності та якість життя. За даними ВООЗ частка смертності від неінфекційних захворювань складає 91% від всіх смертей,  63% - пов’язано із серцево-судинними захворюваннями.  В країнах ЄС в середньому цей показник менше на 10-20%. Від неінфекційних захворювань у 2016 році померло 578 200 осіб</w:t>
      </w:r>
    </w:p>
    <w:p>
      <w:pPr/>
      <w:r>
        <w:rPr>
          <w:b w:val="1"/>
          <w:bCs w:val="1"/>
        </w:rPr>
        <w:t xml:space="preserve">1.5. Динаміка проблеми:  Нейтральна</w:t>
      </w:r>
    </w:p>
    <w:p>
      <w:pPr/>
      <w:r>
        <w:rPr/>
        <w:t xml:space="preserve">Середня очікувана тривалість життя при народженні (обидві статі) у 2017 році в Україні склала 71,98 років (у 2014 році - 71,37, у 2015 році  - 71,38, у 2016 році - 71,68). Протягом 2015-2017 років очікувана тривалість життя при народженні (чол.) в ЄС становила 78,1 рік. Протягом останніх 10 років загальний рівень захворюваності в країні знаходиться на високому рівні та склав за 2018 рік 62 342 випадків на 100 тис. населення. Зростає кількість звернень до лікаря з причини гіпертонії (36% із тих, хто звернувся до лікаря у 2010 та 46% у 2018), а смертність від вживання алкоголю у 2018 році склала 10738 смертей. Відсоток громадян, які негативно оцінюють свій стан здоров’я зберігається однаковим протягом останніх 7 років – на рівні 10%. Відсоток громадян які звернулися до лікаря про допомогу із причини серцевих захворювань трохи зменшився із 30% у 2010 р. до 26% у 2018 році</w:t>
      </w:r>
    </w:p>
    <w:p>
      <w:pPr/>
      <w:r>
        <w:rPr>
          <w:b w:val="1"/>
          <w:bCs w:val="1"/>
        </w:rPr>
        <w:t xml:space="preserve">1.6. Причини проблеми</w:t>
      </w:r>
    </w:p>
    <w:p>
      <w:pPr/>
      <w:r>
        <w:rPr/>
        <w:t xml:space="preserve">Причина 1 - Вплив поведінкових та шкідливих факторів ризику (тютюнопаління, вживання алкоголю, недостатня фізична активність, нездорове харчування, споживання надмірної кількості солі, цукру, впливу навколишнього середовища, тощо)</w:t>
      </w:r>
    </w:p>
    <w:p>
      <w:pPr/>
      <w:r>
        <w:rPr/>
        <w:t xml:space="preserve">Понад 80% смертей в Україні спричинено хворобами системи кровообігу, новоутвореннями, хронічними обструктивними хворобами легень, діабетом. Це ті хвороби, яким в багатьох випадках можна запобігти, змінивши спосіб життя. Недотримання правил здорового харчування, режиму рухової активності, високий травматизм на дорогах, а також вживання алкоголю та тютюну є причинами численних хвороб і високого рівня передчасної смертності, особливо серед чоловічого населення. Українці в середньому споживають 9 літрів чистого спирту на особу, 23% дорослого населення є щоденними курцями, а від гіпертонії страждає третина дорослого населення.</w:t>
      </w:r>
    </w:p>
    <w:p>
      <w:pPr/>
      <w:r>
        <w:rPr/>
        <w:t xml:space="preserve">Частка осіб, які зверталися до лікаря з метою профілактичного огляду поступово зменшується, що може свідчити низький рівень профілактичної освіти, знань та відповідальності за власне здоров’я (2010 р. - 42%, 2015 р. - 36%). Агресивний маркетинг швидкої їжі, відсутність регулювання вмісту солі та цукру у продуктах харчування є додатковими факторами ризику виникнення НІЗ, а також ожиріння, діабету тощо. </w:t>
      </w:r>
    </w:p>
    <w:p>
      <w:pPr/>
      <w:r>
        <w:rPr/>
        <w:t xml:space="preserve">Причина 2 - Низький рівень охоплення населення вакцинацією і поширення соціально-небезпечних хвороб</w:t>
      </w:r>
    </w:p>
    <w:p>
      <w:pPr/>
      <w:r>
        <w:rPr/>
        <w:t xml:space="preserve">Згідно з рекомендаціями ВООЗ необхідно, щоб 95% населення було захищене від інфекційних хвороб щепленнями для формування колективного імунітету. В Україні рівень вакцинації за Календарем щеплень (10 вакцин, які забезпечуються державою) є низьким. Наприклад, станом на 1 жовтня 2019 року в Україні щеплено від дифтерії лише 52% дорослих та 59% дітей віком до одного року від кількості, що передбачено плановою вакцинацією. Як наслідок, з 2017 р. в Україні тримає спалах кору, а у 2019 р. уже зафіксовані 20 випадків дифтерії.</w:t>
      </w:r>
    </w:p>
    <w:p>
      <w:pPr/>
      <w:r>
        <w:rPr/>
        <w:t xml:space="preserve">На сьогодні Україна посідає одне з перших місць серед країн європейського регіону за кількістю ВІЛ-позитивних осіб (кожний сотий громадянин України у віці від 15 до 49 років інфікований ВІЛ. Показник смертності від туберкульозу залишається найвищим у Європейському регіоні - 9,4%, а показник захворюваності - 48,5 на 100 тис. населення (2018 рік). Ко-інфекція ТБ/ВІЛ, як частина загальної епідемії туберкульозу, має значний вплив на рівень захворюваності на туберкульоз в Україні. За останні 5 років захворюваність на ко-інфекцію ТБ/ВІЛ зростає в середньому на 3,2% в рік.</w:t>
      </w:r>
    </w:p>
    <w:p>
      <w:pPr/>
      <w:r>
        <w:rPr/>
        <w:t xml:space="preserve">Причина 3 - Невідповідність встановленого нормативно-правового регулювання фактичним суспільним потребам та відносинам в сфері громадського здоров’я</w:t>
      </w:r>
    </w:p>
    <w:p>
      <w:pPr/>
      <w:r>
        <w:rPr/>
        <w:t xml:space="preserve">В Україні відсутня єдина нормативно визначена система громадського здоров’я. Функції громадського здоров’я описані тільки у Концепції розвитку системи ГЗ, але відсутні в українському законодавстві. Функціонал розподілений серед цілого ряду інституцій із слабкою координацією. Сфери відповідальності не прописані в законодавстві, а відповідно не виконуються у повному обсязі. Із поступовою децентралізацією відсутність законодавчої рамки гальмує процес створення та розвитку суб’єктів громадського здоров’я.</w:t>
      </w:r>
    </w:p>
    <w:p>
      <w:pPr/>
      <w:r>
        <w:rPr>
          <w:b w:val="1"/>
          <w:bCs w:val="1"/>
        </w:rPr>
        <w:t xml:space="preserve">1.7. Показники ефективності політики</w:t>
      </w:r>
    </w:p>
    <w:p>
      <w:pPr>
        <w:numPr>
          <w:ilvl w:val="0"/>
          <w:numId w:val="1"/>
        </w:numPr>
      </w:pPr>
      <w:r>
        <w:rPr/>
        <w:t xml:space="preserve">Зменшення кількості інфекційних захворювань на 20%</w:t>
      </w:r>
    </w:p>
    <w:p>
      <w:pPr>
        <w:numPr>
          <w:ilvl w:val="0"/>
          <w:numId w:val="1"/>
        </w:numPr>
      </w:pPr>
      <w:r>
        <w:rPr/>
        <w:t xml:space="preserve">Зменшення кількості випадків серцево-судинних захворювань у пацієнтів працездатного віку – 10%</w:t>
      </w:r>
    </w:p>
    <w:p>
      <w:pPr/>
      <w:r>
        <w:rPr>
          <w:b w:val="1"/>
          <w:bCs w:val="1"/>
        </w:rPr>
        <w:t xml:space="preserve">1.8. Опис чинної державної політики щодо вирішення проблеми / її причин.</w:t>
      </w:r>
    </w:p>
    <w:p>
      <w:pPr/>
      <w:r>
        <w:rPr/>
        <w:t xml:space="preserve">З метою формування та реалізації ефективної державної політики для збереження та зміцнення здоров'я населення, збільшення тривалості та покращення якості життя, попередження захворювань, продовження активного, працездатного віку та заохочення до здорового способу життя розпорядженням Кабінету Міністрів України від 30 листопада 2016 р. № 1002 схвалено Концепцію розвитку системи громадського здоров'я.</w:t>
      </w:r>
    </w:p>
    <w:p>
      <w:pPr/>
      <w:r>
        <w:rPr/>
        <w:t xml:space="preserve">З метою зменшення передчасної смертності від неінфекційних захворювань (серцево-судинних захворювань, раку, діабету, хронічних респіраторних захворювань та інших), в т.ч. за рахунок підвищення обізнаності населення щодо факторів ризику неінфекційних захворювань та шляхів їх зменшення розпорядженням Кабінету Міністрів України від 26 липня 2018 р. № 530 затверджено Національний план заходів щодо неінфекційних захворювань для досягнення глобальних цілей сталого розвитку.</w:t>
      </w:r>
    </w:p>
    <w:p>
      <w:pPr/>
      <w:r>
        <w:rPr/>
        <w:t xml:space="preserve">З метою врегулювання механізмів фінансування та управління, а також формування національної системи крові для впровадження в Україні європейських та міжнародних стандартів і практик діяльності системи крові щодо підвищення рівня забезпечення своєчасного доступу пацієнтів до якісних та безпечних компонентів донорської крові у необхідній кількості розпорядженням Кабінету Міністрів України від 20 лютого 2019 р. № 120 схвалено Стратегію розвитку національної системи крові на період до 2022 року та затверджено план заходів щодо її реалізації.</w:t>
      </w:r>
    </w:p>
    <w:p>
      <w:pPr/>
      <w:r>
        <w:rPr/>
        <w:t xml:space="preserve">З метою забезпечення раціонального використання протимікробних препаратів у сфері охорони здоров’я, ветеринарної медицини та харчової промисловості відповідно до кращих світових та європейських практик впровадження дієвої системи епідеміологічного нагляду за антибіотикорезистентністю, її інтеграції до загальноєвропейської мережі розпорядженням Кабінету Міністрів України від 6 березня 2019 р. № 116 затверджено Національний план дій щодо боротьби із стійкістю до протимікробних препаратів</w:t>
      </w:r>
    </w:p>
    <w:p>
      <w:pPr/>
      <w:r>
        <w:rPr>
          <w:b w:val="1"/>
          <w:bCs w:val="1"/>
        </w:rPr>
        <w:t xml:space="preserve">2.	ПРОПОНОВАНИЙ КУРС ПОЛІТИКИ</w:t>
      </w:r>
    </w:p>
    <w:p>
      <w:pPr/>
      <w:r>
        <w:rPr>
          <w:b w:val="1"/>
          <w:bCs w:val="1"/>
        </w:rPr>
        <w:t xml:space="preserve">2.1. Підціль 1 “Формування здорових моделей поведінки та захист населення від факторів ризику”</w:t>
      </w:r>
    </w:p>
    <w:p>
      <w:pPr/>
      <w:r>
        <w:rPr>
          <w:b w:val="1"/>
          <w:bCs w:val="1"/>
        </w:rPr>
        <w:t xml:space="preserve">Показники результативності: </w:t>
      </w:r>
    </w:p>
    <w:p>
      <w:pPr>
        <w:numPr>
          <w:ilvl w:val="0"/>
          <w:numId w:val="1"/>
        </w:numPr>
      </w:pPr>
      <w:r>
        <w:rPr/>
        <w:t xml:space="preserve">Зменшення рівня поширеності тютюнокуріння на 20% (серед дорослого населення) та серед учнівської молоді (13-15 років) на 20%</w:t>
      </w:r>
    </w:p>
    <w:p>
      <w:pPr>
        <w:numPr>
          <w:ilvl w:val="0"/>
          <w:numId w:val="1"/>
        </w:numPr>
      </w:pPr>
      <w:r>
        <w:rPr/>
        <w:t xml:space="preserve">Зменшення споживання спирту на 20% (в декалітрах на рік, серед дорослого населення)</w:t>
      </w:r>
    </w:p>
    <w:p>
      <w:pPr/>
      <w:r>
        <w:rPr>
          <w:b w:val="1"/>
          <w:bCs w:val="1"/>
        </w:rPr>
        <w:t xml:space="preserve">Завдання до підцілі 1: </w:t>
      </w:r>
    </w:p>
    <w:p>
      <w:pPr>
        <w:numPr>
          <w:ilvl w:val="0"/>
          <w:numId w:val="1"/>
        </w:numPr>
      </w:pPr>
      <w:r>
        <w:rPr/>
        <w:t xml:space="preserve">Захистити населення від впливу шкідливих речовин, що призводять до виникнення неінфекційних захворювань</w:t>
      </w:r>
    </w:p>
    <w:p>
      <w:pPr>
        <w:numPr>
          <w:ilvl w:val="0"/>
          <w:numId w:val="1"/>
        </w:numPr>
      </w:pPr>
      <w:r>
        <w:rPr/>
        <w:t xml:space="preserve">Популяризувати здоровий спосіб життя та здорове харчування</w:t>
      </w:r>
    </w:p>
    <w:p>
      <w:pPr>
        <w:numPr>
          <w:ilvl w:val="0"/>
          <w:numId w:val="1"/>
        </w:numPr>
      </w:pPr>
      <w:r>
        <w:rPr/>
        <w:t xml:space="preserve">Знизити рівень поширеності куріння та зменшити споживання усіх форм тютюнових виробів та нікотину</w:t>
      </w:r>
    </w:p>
    <w:p>
      <w:pPr>
        <w:numPr>
          <w:ilvl w:val="0"/>
          <w:numId w:val="1"/>
        </w:numPr>
      </w:pPr>
      <w:r>
        <w:rPr/>
        <w:t xml:space="preserve">Знизити рівень споживання алкоголю на душу населення</w:t>
      </w:r>
    </w:p>
    <w:p>
      <w:pPr>
        <w:numPr>
          <w:ilvl w:val="0"/>
          <w:numId w:val="1"/>
        </w:numPr>
      </w:pPr>
      <w:r>
        <w:rPr/>
        <w:t xml:space="preserve">Формування політики у всіх сферах із врахуванням основних факторів смертності населення – неінфекційних захворювань (НІЗ) – принцип “Health in All Policies”</w:t>
      </w:r>
    </w:p>
    <w:p>
      <w:pPr>
        <w:numPr>
          <w:ilvl w:val="0"/>
          <w:numId w:val="1"/>
        </w:numPr>
      </w:pPr>
      <w:r>
        <w:rPr/>
        <w:t xml:space="preserve">Впровадити інтегровану модель на рівні надання первинної медичної допомоги</w:t>
      </w:r>
    </w:p>
    <w:p>
      <w:pPr>
        <w:numPr>
          <w:ilvl w:val="0"/>
          <w:numId w:val="1"/>
        </w:numPr>
      </w:pPr>
      <w:r>
        <w:rPr/>
        <w:t xml:space="preserve">Розробити та імплементувати систему якості надання первинної медичної допомоги</w:t>
      </w:r>
    </w:p>
    <w:p>
      <w:pPr/>
      <w:r>
        <w:rPr>
          <w:b w:val="1"/>
          <w:bCs w:val="1"/>
        </w:rPr>
        <w:t xml:space="preserve">2.2. Підціль 2 “Зменшення економічних витрат і збереження здоров'я шляхом попередження / раннього виявлення інфекційних хвороб”</w:t>
      </w:r>
    </w:p>
    <w:p>
      <w:pPr/>
      <w:r>
        <w:rPr>
          <w:b w:val="1"/>
          <w:bCs w:val="1"/>
        </w:rPr>
        <w:t xml:space="preserve">Показники результативності: </w:t>
      </w:r>
    </w:p>
    <w:p>
      <w:pPr>
        <w:numPr>
          <w:ilvl w:val="0"/>
          <w:numId w:val="1"/>
        </w:numPr>
      </w:pPr>
      <w:r>
        <w:rPr/>
        <w:t xml:space="preserve">95% охоплення профілактичними щепленнями згідно з національним календарем щеплень</w:t>
      </w:r>
    </w:p>
    <w:p>
      <w:pPr>
        <w:numPr>
          <w:ilvl w:val="0"/>
          <w:numId w:val="1"/>
        </w:numPr>
      </w:pPr>
      <w:r>
        <w:rPr/>
        <w:t xml:space="preserve">На 20% підвищення виявлених випадків ВІЛ, ТБ, гепатитів</w:t>
      </w:r>
    </w:p>
    <w:p>
      <w:pPr>
        <w:numPr>
          <w:ilvl w:val="0"/>
          <w:numId w:val="1"/>
        </w:numPr>
      </w:pPr>
      <w:r>
        <w:rPr/>
        <w:t xml:space="preserve">Відсоток пацієнтів з підтвердженим діагнозом туберкульозу при лікуванні в умовах з першого дня на рівні 65%</w:t>
      </w:r>
    </w:p>
    <w:p>
      <w:pPr>
        <w:numPr>
          <w:ilvl w:val="0"/>
          <w:numId w:val="1"/>
        </w:numPr>
      </w:pPr>
      <w:r>
        <w:rPr/>
        <w:t xml:space="preserve">Рівень захворюваності на ко-інфекцію ТБ/ВІЛ знижується</w:t>
      </w:r>
    </w:p>
    <w:p>
      <w:pPr>
        <w:numPr>
          <w:ilvl w:val="0"/>
          <w:numId w:val="1"/>
        </w:numPr>
      </w:pPr>
      <w:r>
        <w:rPr/>
        <w:t xml:space="preserve">100% інфекційна та імунологічна безпека донорської крові та її компонентів</w:t>
      </w:r>
    </w:p>
    <w:p>
      <w:pPr/>
      <w:r>
        <w:rPr>
          <w:b w:val="1"/>
          <w:bCs w:val="1"/>
        </w:rPr>
        <w:t xml:space="preserve">Завдання до підцілі 2: </w:t>
      </w:r>
    </w:p>
    <w:p>
      <w:pPr>
        <w:numPr>
          <w:ilvl w:val="0"/>
          <w:numId w:val="1"/>
        </w:numPr>
      </w:pPr>
      <w:r>
        <w:rPr/>
        <w:t xml:space="preserve">Збільшити охоплення профілактичними щепленнями згідно з національним календарем щеплень</w:t>
      </w:r>
    </w:p>
    <w:p>
      <w:pPr>
        <w:numPr>
          <w:ilvl w:val="0"/>
          <w:numId w:val="1"/>
        </w:numPr>
      </w:pPr>
      <w:r>
        <w:rPr/>
        <w:t xml:space="preserve">Забезпечити збільшення кількості виявлених випадків захворювання (ВІЛ/СНІД, ТБ, гепатити)</w:t>
      </w:r>
    </w:p>
    <w:p>
      <w:pPr>
        <w:numPr>
          <w:ilvl w:val="0"/>
          <w:numId w:val="1"/>
        </w:numPr>
      </w:pPr>
      <w:r>
        <w:rPr/>
        <w:t xml:space="preserve">Розробити та донести до лікарів первинної ланки критеріїв для виявлення груп ризику, які першочергово повинні тестуватись</w:t>
      </w:r>
    </w:p>
    <w:p>
      <w:pPr>
        <w:numPr>
          <w:ilvl w:val="0"/>
          <w:numId w:val="1"/>
        </w:numPr>
      </w:pPr>
      <w:r>
        <w:rPr/>
        <w:t xml:space="preserve">Покращити рівень безпеки системи крові ("європейська якість")</w:t>
      </w:r>
    </w:p>
    <w:p>
      <w:pPr/>
      <w:r>
        <w:rPr>
          <w:b w:val="1"/>
          <w:bCs w:val="1"/>
        </w:rPr>
        <w:t xml:space="preserve">2.3. Підціль 3 “Створення спроможної системи громадського здоров'я та забезпечення санітарно-епідемічного благополуччя населення”</w:t>
      </w:r>
    </w:p>
    <w:p>
      <w:pPr/>
      <w:r>
        <w:rPr>
          <w:b w:val="1"/>
          <w:bCs w:val="1"/>
        </w:rPr>
        <w:t xml:space="preserve">Показники результативності: </w:t>
      </w:r>
    </w:p>
    <w:p>
      <w:pPr>
        <w:numPr>
          <w:ilvl w:val="0"/>
          <w:numId w:val="1"/>
        </w:numPr>
      </w:pPr>
      <w:r>
        <w:rPr/>
        <w:t xml:space="preserve">100% створених регіональних центрів громадського здоров’я в усіх областях України</w:t>
      </w:r>
    </w:p>
    <w:p>
      <w:pPr>
        <w:numPr>
          <w:ilvl w:val="0"/>
          <w:numId w:val="1"/>
        </w:numPr>
      </w:pPr>
      <w:r>
        <w:rPr/>
        <w:t xml:space="preserve">Суб’єкти громадського здоров’я ефективно виконують 10 функцій громадського здоров’я, рекомендованих ВООЗ на національному, регіональному та місцевому рівнях</w:t>
      </w:r>
    </w:p>
    <w:p>
      <w:pPr>
        <w:numPr>
          <w:ilvl w:val="0"/>
          <w:numId w:val="1"/>
        </w:numPr>
      </w:pPr>
      <w:r>
        <w:rPr/>
        <w:t xml:space="preserve">100% функціонування пунктів пропуску через державний кордон на всіх видах транспорту відповідно до міжнародних медико-санітарних правил</w:t>
      </w:r>
    </w:p>
    <w:p>
      <w:pPr/>
      <w:r>
        <w:rPr>
          <w:b w:val="1"/>
          <w:bCs w:val="1"/>
        </w:rPr>
        <w:t xml:space="preserve">Завдання до підцілі 3: </w:t>
      </w:r>
    </w:p>
    <w:p>
      <w:pPr>
        <w:numPr>
          <w:ilvl w:val="0"/>
          <w:numId w:val="1"/>
        </w:numPr>
      </w:pPr>
      <w:r>
        <w:rPr/>
        <w:t xml:space="preserve">Забезпечити повноцінний доступ до профілактичних послуг та послуг з громадського здоров'я</w:t>
      </w:r>
    </w:p>
    <w:p>
      <w:pPr>
        <w:numPr>
          <w:ilvl w:val="0"/>
          <w:numId w:val="1"/>
        </w:numPr>
      </w:pPr>
      <w:r>
        <w:rPr/>
        <w:t xml:space="preserve">Створити стійкий механізм фінансування системи та підвищення ефективності використання бюджетних коштів у сфері громадського здоров'я шляхом переходу від моделі утримання на модель закупівлі послуг</w:t>
      </w:r>
    </w:p>
    <w:p>
      <w:pPr>
        <w:numPr>
          <w:ilvl w:val="0"/>
          <w:numId w:val="1"/>
        </w:numPr>
      </w:pPr>
      <w:r>
        <w:rPr/>
        <w:t xml:space="preserve">Забезпечити розвиток і вдосконалення системи громадського здоров'я на загальнодержавному та регіональному рівнях</w:t>
      </w:r>
    </w:p>
    <w:p>
      <w:pPr>
        <w:numPr>
          <w:ilvl w:val="0"/>
          <w:numId w:val="1"/>
        </w:numPr>
      </w:pPr>
      <w:r>
        <w:rPr/>
        <w:t xml:space="preserve">Забезпечити розвиток кадрового  потенціалу в системі громадського здоров'я</w:t>
      </w:r>
    </w:p>
    <w:p>
      <w:pPr>
        <w:numPr>
          <w:ilvl w:val="0"/>
          <w:numId w:val="1"/>
        </w:numPr>
      </w:pPr>
      <w:r>
        <w:rPr/>
        <w:t xml:space="preserve">Захистити територію від ввезення небезпечних інфекційних хвороб шляхом повної імплементації Міжнародних медико-санітарних правил</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Формування здорових моделей поведінки та захист населення від факторів ризику</w:t>
            </w:r>
          </w:p>
        </w:tc>
        <w:tc>
          <w:tcPr>
            <w:vAlign w:val="center"/>
            <w:vMerge w:val="restart"/>
          </w:tcPr>
          <w:p>
            <w:pPr>
              <w:jc w:val="center"/>
            </w:pPr>
            <w:r>
              <w:rPr>
                <w:sz w:val="20"/>
                <w:szCs w:val="20"/>
              </w:rPr>
              <w:t xml:space="preserve">Захистити населення від впливу шкідливих речовин, що призводять до виникнення неінфекційних захворювань</w:t>
            </w:r>
          </w:p>
        </w:tc>
        <w:tc>
          <w:tcPr>
            <w:vAlign w:val="center"/>
          </w:tcPr>
          <w:p>
            <w:pPr>
              <w:jc w:val="center"/>
            </w:pPr>
            <w:r>
              <w:rPr>
                <w:sz w:val="20"/>
                <w:szCs w:val="20"/>
              </w:rPr>
              <w:t xml:space="preserve">Розробка та прийняття законодавчих та регуляторних актів, що передбачені Планом заходів з виконання Угоди про асоціацію між Україною, з однієї сторони, та Європейським Союзом, Європейським співтовариством з атомної енергії і їхніми державами-членами, з іншої сторони, затвердженого постановою КМУ від 25 жовтня 2017 р. № 1106 в частині забезпечення безпечності харчових продуктів</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МОЗ </w:t>
            </w:r>
          </w:p>
        </w:tc>
      </w:tr>
      <w:tr>
        <w:trPr/>
        <w:tc>
          <w:tcPr>
            <w:vMerge w:val="continue"/>
          </w:tcPr>
          <w:p/>
        </w:tc>
        <w:tc>
          <w:tcPr>
            <w:vMerge w:val="continue"/>
          </w:tcPr>
          <w:p/>
        </w:tc>
        <w:tc>
          <w:tcPr>
            <w:vAlign w:val="center"/>
          </w:tcPr>
          <w:p>
            <w:pPr>
              <w:jc w:val="center"/>
            </w:pPr>
            <w:r>
              <w:rPr>
                <w:sz w:val="20"/>
                <w:szCs w:val="20"/>
              </w:rPr>
              <w:t xml:space="preserve">Розробка та прийняття нормативно-правових актів, які сприятимуть зменшенню використання транс жирів шляхом регулювання щодо обов'язкового йодування солі, фортифікації борошна, оподаткування напоїв з додаванням цукру та інші ініціативи направлені на захист громадського здоров'я</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Розробка та прийняття нормативно-правових актів щодо встановлення гранично допустимих концентрацій шкідливих речовин в атмосферному повітрі,повітрі робочої зони, ґрунті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МОЗ </w:t>
            </w:r>
          </w:p>
        </w:tc>
      </w:tr>
      <w:tr>
        <w:trPr/>
        <w:tc>
          <w:tcPr>
            <w:vMerge w:val="continue"/>
          </w:tcPr>
          <w:p/>
        </w:tc>
        <w:tc>
          <w:tcPr>
            <w:vAlign w:val="center"/>
            <w:vMerge w:val="restart"/>
          </w:tcPr>
          <w:p>
            <w:pPr>
              <w:jc w:val="center"/>
            </w:pPr>
            <w:r>
              <w:rPr>
                <w:sz w:val="20"/>
                <w:szCs w:val="20"/>
              </w:rPr>
              <w:t xml:space="preserve">Популяризувати здоровий спосіб життя та здорове харчування</w:t>
            </w:r>
          </w:p>
        </w:tc>
        <w:tc>
          <w:tcPr>
            <w:vAlign w:val="center"/>
          </w:tcPr>
          <w:p>
            <w:pPr>
              <w:jc w:val="center"/>
            </w:pPr>
            <w:r>
              <w:rPr>
                <w:sz w:val="20"/>
                <w:szCs w:val="20"/>
              </w:rPr>
              <w:t xml:space="preserve">Розробка та подання на розгляд до уряду зміни до законодавства в частині обов’язкової (квоти на соціальну рекламу) участі ЗМІ усіх форм власності у стратегічних комунікаціях у сфері громадського здоров'я, вжити заходів щодо популяризації здорового способу життя, здорового харчування з метою формування здорових моделей поведінки та уникнення факторів ризику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Мінекономіки; МОЗ; ЦГЗ</w:t>
            </w:r>
          </w:p>
        </w:tc>
      </w:tr>
      <w:tr>
        <w:trPr/>
        <w:tc>
          <w:tcPr>
            <w:vMerge w:val="continue"/>
          </w:tcPr>
          <w:p/>
        </w:tc>
        <w:tc>
          <w:tcPr>
            <w:vAlign w:val="center"/>
            <w:vMerge w:val="restart"/>
          </w:tcPr>
          <w:p>
            <w:pPr>
              <w:jc w:val="center"/>
            </w:pPr>
            <w:r>
              <w:rPr>
                <w:sz w:val="20"/>
                <w:szCs w:val="20"/>
              </w:rPr>
              <w:t xml:space="preserve">Знизити рівень поширеності куріння та зменшити споживання усіх форм тютюнових виробів та нікотину</w:t>
            </w:r>
          </w:p>
        </w:tc>
        <w:tc>
          <w:tcPr>
            <w:vAlign w:val="center"/>
          </w:tcPr>
          <w:p>
            <w:pPr>
              <w:jc w:val="center"/>
            </w:pPr>
            <w:r>
              <w:rPr>
                <w:sz w:val="20"/>
                <w:szCs w:val="20"/>
              </w:rPr>
              <w:t xml:space="preserve">Розробка та подання до уряду законопроекту з метою гармонізації законодавства до вимог Директиви 2014/40/ЄС (контроль над тютюном)</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МОЗ </w:t>
            </w:r>
          </w:p>
        </w:tc>
      </w:tr>
      <w:tr>
        <w:trPr/>
        <w:tc>
          <w:tcPr>
            <w:vMerge w:val="continue"/>
          </w:tcPr>
          <w:p/>
        </w:tc>
        <w:tc>
          <w:tcPr>
            <w:vMerge w:val="continue"/>
          </w:tcPr>
          <w:p/>
        </w:tc>
        <w:tc>
          <w:tcPr>
            <w:vAlign w:val="center"/>
          </w:tcPr>
          <w:p>
            <w:pPr>
              <w:jc w:val="center"/>
            </w:pPr>
            <w:r>
              <w:rPr>
                <w:sz w:val="20"/>
                <w:szCs w:val="20"/>
              </w:rPr>
              <w:t xml:space="preserve">Запровадження та забезпечення роботи національного сервісу з відмови від куріння та інших стандартів допомогти для відмови від куріння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31-01-2024</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Розробка та (або) підтримка законодавчих ініціатив направлених на подальшу імплементацію Рамкової Конвенції боротьби проти тютюну та її Протоколів (Протокол щодо ліквідації незаконної торгівлі тютюном)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w:t>
            </w:r>
          </w:p>
        </w:tc>
      </w:tr>
      <w:tr>
        <w:trPr/>
        <w:tc>
          <w:tcPr>
            <w:vMerge w:val="continue"/>
          </w:tcPr>
          <w:p/>
        </w:tc>
        <w:tc>
          <w:tcPr>
            <w:vMerge w:val="continue"/>
          </w:tcPr>
          <w:p/>
        </w:tc>
        <w:tc>
          <w:tcPr>
            <w:vAlign w:val="center"/>
          </w:tcPr>
          <w:p>
            <w:pPr>
              <w:jc w:val="center"/>
            </w:pPr>
            <w:r>
              <w:rPr>
                <w:sz w:val="20"/>
                <w:szCs w:val="20"/>
              </w:rPr>
              <w:t xml:space="preserve">Забезпечення виконання вимог законодавства щодо повної заборони реклами тютюнових виробів і повної заборони спонсорської участі для тютюнових виробів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Мінекономіки; ЦГЗ</w:t>
            </w:r>
          </w:p>
        </w:tc>
      </w:tr>
      <w:tr>
        <w:trPr/>
        <w:tc>
          <w:tcPr>
            <w:vMerge w:val="continue"/>
          </w:tcPr>
          <w:p/>
        </w:tc>
        <w:tc>
          <w:tcPr>
            <w:vMerge w:val="continue"/>
          </w:tcPr>
          <w:p/>
        </w:tc>
        <w:tc>
          <w:tcPr>
            <w:vAlign w:val="center"/>
          </w:tcPr>
          <w:p>
            <w:pPr>
              <w:jc w:val="center"/>
            </w:pPr>
            <w:r>
              <w:rPr>
                <w:sz w:val="20"/>
                <w:szCs w:val="20"/>
              </w:rPr>
              <w:t xml:space="preserve">Сприяння забезпеченню постійного зростання податків на тютюнові вироби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Мінфін, МОЗ</w:t>
            </w:r>
          </w:p>
        </w:tc>
      </w:tr>
      <w:tr>
        <w:trPr/>
        <w:tc>
          <w:tcPr>
            <w:vMerge w:val="continue"/>
          </w:tcPr>
          <w:p/>
        </w:tc>
        <w:tc>
          <w:tcPr>
            <w:vMerge w:val="continue"/>
          </w:tcPr>
          <w:p/>
        </w:tc>
        <w:tc>
          <w:tcPr>
            <w:vAlign w:val="center"/>
          </w:tcPr>
          <w:p>
            <w:pPr>
              <w:jc w:val="center"/>
            </w:pPr>
            <w:r>
              <w:rPr>
                <w:sz w:val="20"/>
                <w:szCs w:val="20"/>
              </w:rPr>
              <w:t xml:space="preserve">Проведення національних інформаційних кампаній щодо шкідливого впливу тютюну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w:t>
            </w:r>
          </w:p>
        </w:tc>
      </w:tr>
      <w:tr>
        <w:trPr/>
        <w:tc>
          <w:tcPr>
            <w:vMerge w:val="continue"/>
          </w:tcPr>
          <w:p/>
        </w:tc>
        <w:tc>
          <w:tcPr>
            <w:vAlign w:val="center"/>
            <w:vMerge w:val="restart"/>
          </w:tcPr>
          <w:p>
            <w:pPr>
              <w:jc w:val="center"/>
            </w:pPr>
            <w:r>
              <w:rPr>
                <w:sz w:val="20"/>
                <w:szCs w:val="20"/>
              </w:rPr>
              <w:t xml:space="preserve">Знизити рівень споживання алкоголю на душу населення</w:t>
            </w:r>
          </w:p>
        </w:tc>
        <w:tc>
          <w:tcPr>
            <w:vAlign w:val="center"/>
          </w:tcPr>
          <w:p>
            <w:pPr>
              <w:jc w:val="center"/>
            </w:pPr>
            <w:r>
              <w:rPr>
                <w:sz w:val="20"/>
                <w:szCs w:val="20"/>
              </w:rPr>
              <w:t xml:space="preserve">Розробка та подання до Уряду законопроекту з метою повної заборони реклами алкогольних напоїв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МОЗ; Мінекономіки </w:t>
            </w:r>
          </w:p>
        </w:tc>
      </w:tr>
      <w:tr>
        <w:trPr/>
        <w:tc>
          <w:tcPr>
            <w:vMerge w:val="continue"/>
          </w:tcPr>
          <w:p/>
        </w:tc>
        <w:tc>
          <w:tcPr>
            <w:vMerge w:val="continue"/>
          </w:tcPr>
          <w:p/>
        </w:tc>
        <w:tc>
          <w:tcPr>
            <w:vAlign w:val="center"/>
          </w:tcPr>
          <w:p>
            <w:pPr>
              <w:jc w:val="center"/>
            </w:pPr>
            <w:r>
              <w:rPr>
                <w:sz w:val="20"/>
                <w:szCs w:val="20"/>
              </w:rPr>
              <w:t xml:space="preserve">Розробка та подання до Уряду стратегії (концепції, плану заходів) зі зменшення шкідливого впливу вживання алкоголю на основі Глобальної стратегії ВООЗ із зменшення шкоди алкоголю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Проведення інформаційних кампаній з метою підвищення обізнаності щодо шкідливого впливу алкоголю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Забезпечення надання послуг з допомоги особам із різними формами алкогольної залежності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ДП "Психічне здоров'я МОЗ України"</w:t>
            </w:r>
          </w:p>
        </w:tc>
      </w:tr>
      <w:tr>
        <w:trPr/>
        <w:tc>
          <w:tcPr>
            <w:vMerge w:val="continue"/>
          </w:tcPr>
          <w:p/>
        </w:tc>
        <w:tc>
          <w:tcPr>
            <w:vAlign w:val="center"/>
            <w:vMerge w:val="restart"/>
          </w:tcPr>
          <w:p>
            <w:pPr>
              <w:jc w:val="center"/>
            </w:pPr>
            <w:r>
              <w:rPr>
                <w:sz w:val="20"/>
                <w:szCs w:val="20"/>
              </w:rPr>
              <w:t xml:space="preserve">Формування політики у всіх сферах із врахуванням основних факторів смертності населення – неінфекційних захворювань (НІЗ) – принцип “Health in All Policies”</w:t>
            </w:r>
          </w:p>
        </w:tc>
        <w:tc>
          <w:tcPr>
            <w:vAlign w:val="center"/>
          </w:tcPr>
          <w:p>
            <w:pPr>
              <w:jc w:val="center"/>
            </w:pPr>
            <w:r>
              <w:rPr>
                <w:sz w:val="20"/>
                <w:szCs w:val="20"/>
              </w:rPr>
              <w:t xml:space="preserve">Проведення постійної експертної оцінки впливу прийняття нормативно-правового акту на стан громадського здоров'я з урахуванням основних факторів смертності населення</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МОЗ </w:t>
            </w:r>
          </w:p>
        </w:tc>
      </w:tr>
      <w:tr>
        <w:trPr/>
        <w:tc>
          <w:tcPr>
            <w:vMerge w:val="continue"/>
          </w:tcPr>
          <w:p/>
        </w:tc>
        <w:tc>
          <w:tcPr>
            <w:vAlign w:val="center"/>
            <w:vMerge w:val="restart"/>
          </w:tcPr>
          <w:p>
            <w:pPr>
              <w:jc w:val="center"/>
            </w:pPr>
            <w:r>
              <w:rPr>
                <w:sz w:val="20"/>
                <w:szCs w:val="20"/>
              </w:rPr>
              <w:t xml:space="preserve">Впровадити інтегровану модель на рівні надання первинної медичної допомоги</w:t>
            </w:r>
          </w:p>
        </w:tc>
        <w:tc>
          <w:tcPr>
            <w:vAlign w:val="center"/>
          </w:tcPr>
          <w:p>
            <w:pPr>
              <w:jc w:val="center"/>
            </w:pPr>
            <w:r>
              <w:rPr>
                <w:sz w:val="20"/>
                <w:szCs w:val="20"/>
              </w:rPr>
              <w:t xml:space="preserve">Розробка Концепції розвитку первинної медичної допомоги до 2030 року</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Осучаснення табелю матеріально-технічного оснащення закладів охорони здоров’я та фізичних осіб-підприємців, які надають ПМД</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МОЗ </w:t>
            </w:r>
          </w:p>
        </w:tc>
      </w:tr>
      <w:tr>
        <w:trPr/>
        <w:tc>
          <w:tcPr>
            <w:vMerge w:val="continue"/>
          </w:tcPr>
          <w:p/>
        </w:tc>
        <w:tc>
          <w:tcPr>
            <w:vMerge w:val="continue"/>
          </w:tcPr>
          <w:p/>
        </w:tc>
        <w:tc>
          <w:tcPr>
            <w:vAlign w:val="center"/>
          </w:tcPr>
          <w:p>
            <w:pPr>
              <w:jc w:val="center"/>
            </w:pPr>
            <w:r>
              <w:rPr>
                <w:sz w:val="20"/>
                <w:szCs w:val="20"/>
              </w:rPr>
              <w:t xml:space="preserve">Перегляд за необхідності санітарних норм і правил функціонування закладів охорони здоров`я, які регулюють вимоги до закладів охорони здоров'я</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30-04-2021</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Перегляд скинінгових програм, що здійснюються під час надання ПМД</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МОЗ; НСЗУ</w:t>
            </w:r>
          </w:p>
        </w:tc>
      </w:tr>
      <w:tr>
        <w:trPr/>
        <w:tc>
          <w:tcPr>
            <w:vMerge w:val="continue"/>
          </w:tcPr>
          <w:p/>
        </w:tc>
        <w:tc>
          <w:tcPr>
            <w:vMerge w:val="continue"/>
          </w:tcPr>
          <w:p/>
        </w:tc>
        <w:tc>
          <w:tcPr>
            <w:vAlign w:val="center"/>
          </w:tcPr>
          <w:p>
            <w:pPr>
              <w:jc w:val="center"/>
            </w:pPr>
            <w:r>
              <w:rPr>
                <w:sz w:val="20"/>
                <w:szCs w:val="20"/>
              </w:rPr>
              <w:t xml:space="preserve">Розроблення професійного стандарту для лікаря ПМД та медичної сестри.</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МОЗ </w:t>
            </w:r>
          </w:p>
        </w:tc>
      </w:tr>
      <w:tr>
        <w:trPr/>
        <w:tc>
          <w:tcPr>
            <w:vMerge w:val="continue"/>
          </w:tcPr>
          <w:p/>
        </w:tc>
        <w:tc>
          <w:tcPr>
            <w:vAlign w:val="center"/>
            <w:vMerge w:val="restart"/>
          </w:tcPr>
          <w:p>
            <w:pPr>
              <w:jc w:val="center"/>
            </w:pPr>
            <w:r>
              <w:rPr>
                <w:sz w:val="20"/>
                <w:szCs w:val="20"/>
              </w:rPr>
              <w:t xml:space="preserve">Розробити та імплементувати систему якості надання первинної медичної допомоги</w:t>
            </w:r>
          </w:p>
        </w:tc>
        <w:tc>
          <w:tcPr>
            <w:vAlign w:val="center"/>
          </w:tcPr>
          <w:p>
            <w:pPr>
              <w:jc w:val="center"/>
            </w:pPr>
            <w:r>
              <w:rPr>
                <w:sz w:val="20"/>
                <w:szCs w:val="20"/>
              </w:rPr>
              <w:t xml:space="preserve">Розробити та узгодити зі стейкхолдерами перелік показників якості надання послуг у сфері ПМД</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МОЗ; НСЗУ</w:t>
            </w:r>
          </w:p>
        </w:tc>
      </w:tr>
      <w:tr>
        <w:trPr/>
        <w:tc>
          <w:tcPr>
            <w:vMerge w:val="continue"/>
          </w:tcPr>
          <w:p/>
        </w:tc>
        <w:tc>
          <w:tcPr>
            <w:vMerge w:val="continue"/>
          </w:tcPr>
          <w:p/>
        </w:tc>
        <w:tc>
          <w:tcPr>
            <w:vAlign w:val="center"/>
          </w:tcPr>
          <w:p>
            <w:pPr>
              <w:jc w:val="center"/>
            </w:pPr>
            <w:r>
              <w:rPr>
                <w:sz w:val="20"/>
                <w:szCs w:val="20"/>
              </w:rPr>
              <w:t xml:space="preserve">Впровадити систему управління якістю надання ПМД</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МОЗ; НСЗУ</w:t>
            </w:r>
          </w:p>
        </w:tc>
      </w:tr>
      <w:tr>
        <w:trPr/>
        <w:tc>
          <w:tcPr>
            <w:vAlign w:val="center"/>
            <w:vMerge w:val="restart"/>
          </w:tcPr>
          <w:p>
            <w:pPr>
              <w:jc w:val="center"/>
            </w:pPr>
            <w:r>
              <w:rPr>
                <w:sz w:val="20"/>
                <w:szCs w:val="20"/>
              </w:rPr>
              <w:t xml:space="preserve">Зменшення економічних витрат і збереження здоров'я шляхом попередження / раннього виявлення інфекційних хвороб</w:t>
            </w:r>
          </w:p>
        </w:tc>
        <w:tc>
          <w:tcPr>
            <w:vAlign w:val="center"/>
            <w:vMerge w:val="restart"/>
          </w:tcPr>
          <w:p>
            <w:pPr>
              <w:jc w:val="center"/>
            </w:pPr>
            <w:r>
              <w:rPr>
                <w:sz w:val="20"/>
                <w:szCs w:val="20"/>
              </w:rPr>
              <w:t xml:space="preserve">Збільшити охоплення профілактичними щепленнями згідно з національним календарем щеплень</w:t>
            </w:r>
          </w:p>
        </w:tc>
        <w:tc>
          <w:tcPr>
            <w:vAlign w:val="center"/>
          </w:tcPr>
          <w:p>
            <w:pPr>
              <w:jc w:val="center"/>
            </w:pPr>
            <w:r>
              <w:rPr>
                <w:sz w:val="20"/>
                <w:szCs w:val="20"/>
              </w:rPr>
              <w:t xml:space="preserve">Проведення заходів з додаткової імунізації</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Забезпечення проведення інформаційних кампаній про переваги вакцинації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Актуалізація освітніх матеріалів для медичного персоналу та промоція цих матеріалів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Запровадження фінансової мотивації за показники охоплення щепленнями для лікарів первинної ланки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Забезпеченість вакцинами згідно з Національним календарем до рівня амбулаторій</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Врегулювання питання заборони відвідування навчальних закладів нещеплених дітей</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 ДП МЗУ; НСЗУ</w:t>
            </w:r>
          </w:p>
        </w:tc>
      </w:tr>
      <w:tr>
        <w:trPr/>
        <w:tc>
          <w:tcPr>
            <w:vMerge w:val="continue"/>
          </w:tcPr>
          <w:p/>
        </w:tc>
        <w:tc>
          <w:tcPr>
            <w:vAlign w:val="center"/>
            <w:vMerge w:val="restart"/>
          </w:tcPr>
          <w:p>
            <w:pPr>
              <w:jc w:val="center"/>
            </w:pPr>
            <w:r>
              <w:rPr>
                <w:sz w:val="20"/>
                <w:szCs w:val="20"/>
              </w:rPr>
              <w:t xml:space="preserve">Забезпечити збільшення кількості виявлених випадків захворювання (ВІЛ/СНІД, ТБ, гепатити)</w:t>
            </w:r>
          </w:p>
        </w:tc>
        <w:tc>
          <w:tcPr>
            <w:vAlign w:val="center"/>
          </w:tcPr>
          <w:p>
            <w:pPr>
              <w:jc w:val="center"/>
            </w:pPr>
            <w:r>
              <w:rPr>
                <w:sz w:val="20"/>
                <w:szCs w:val="20"/>
              </w:rPr>
              <w:t xml:space="preserve">Проведення інформаційних кампаній вз заохочення тестування на ВІЛ/СНІД, ТБ, гепатити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МОЗЦГЗ; ДП МЗУ; НСЗУ</w:t>
            </w:r>
          </w:p>
        </w:tc>
      </w:tr>
      <w:tr>
        <w:trPr/>
        <w:tc>
          <w:tcPr>
            <w:vMerge w:val="continue"/>
          </w:tcPr>
          <w:p/>
        </w:tc>
        <w:tc>
          <w:tcPr>
            <w:vMerge w:val="continue"/>
          </w:tcPr>
          <w:p/>
        </w:tc>
        <w:tc>
          <w:tcPr>
            <w:vAlign w:val="center"/>
          </w:tcPr>
          <w:p>
            <w:pPr>
              <w:jc w:val="center"/>
            </w:pPr>
            <w:r>
              <w:rPr>
                <w:sz w:val="20"/>
                <w:szCs w:val="20"/>
              </w:rPr>
              <w:t xml:space="preserve">Підвищення доступності тестів на гепатити на первинній ланці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МОЗЦГЗ; ДП МЗУ; НСЗУ</w:t>
            </w:r>
          </w:p>
        </w:tc>
      </w:tr>
      <w:tr>
        <w:trPr/>
        <w:tc>
          <w:tcPr>
            <w:vMerge w:val="continue"/>
          </w:tcPr>
          <w:p/>
        </w:tc>
        <w:tc>
          <w:tcPr>
            <w:vAlign w:val="center"/>
            <w:vMerge w:val="restart"/>
          </w:tcPr>
          <w:p>
            <w:pPr>
              <w:jc w:val="center"/>
            </w:pPr>
            <w:r>
              <w:rPr>
                <w:sz w:val="20"/>
                <w:szCs w:val="20"/>
              </w:rPr>
              <w:t xml:space="preserve">Розробити та донести до лікарів первинної ланки критеріїв для виявлення груп ризику, які першочергово повинні тестуватись</w:t>
            </w:r>
          </w:p>
        </w:tc>
        <w:tc>
          <w:tcPr>
            <w:vAlign w:val="center"/>
          </w:tcPr>
          <w:p>
            <w:pPr>
              <w:jc w:val="center"/>
            </w:pPr>
            <w:r>
              <w:rPr>
                <w:sz w:val="20"/>
                <w:szCs w:val="20"/>
              </w:rPr>
              <w:t xml:space="preserve">Збільшення кількості пролікованих випадків / пацієнтів, які почали терапію (ВІЛ/СНІД, ТБ, гепатити)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Забезпечення механізму доступу до необхідних лікарських засобів на первинній ланці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Впровадження системи обліку хворих та контролю над розподілом ліків для лікування гепатитів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Проведення навчання лікарів первинної ланки щодо консультування про необхідність та алгоритм лікування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Забезпечення оплати лікарям первинної ланки за проліковані випадки (гепатити, ТБ) за програмою медичних гарантій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Merge w:val="continue"/>
          </w:tcPr>
          <w:p/>
        </w:tc>
        <w:tc>
          <w:tcPr>
            <w:vAlign w:val="center"/>
          </w:tcPr>
          <w:p>
            <w:pPr>
              <w:jc w:val="center"/>
            </w:pPr>
            <w:r>
              <w:rPr>
                <w:sz w:val="20"/>
                <w:szCs w:val="20"/>
              </w:rPr>
              <w:t xml:space="preserve">Забезпечення часткового фінансування медико-соціального супроводу людей з ВІЛ</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 ДП МЗУ; НСЗУ</w:t>
            </w:r>
          </w:p>
        </w:tc>
      </w:tr>
      <w:tr>
        <w:trPr/>
        <w:tc>
          <w:tcPr>
            <w:vMerge w:val="continue"/>
          </w:tcPr>
          <w:p/>
        </w:tc>
        <w:tc>
          <w:tcPr>
            <w:vAlign w:val="center"/>
            <w:vMerge w:val="restart"/>
          </w:tcPr>
          <w:p>
            <w:pPr>
              <w:jc w:val="center"/>
            </w:pPr>
            <w:r>
              <w:rPr>
                <w:sz w:val="20"/>
                <w:szCs w:val="20"/>
              </w:rPr>
              <w:t xml:space="preserve">Покращити рівень безпеки системи крові ("європейська якість")</w:t>
            </w:r>
          </w:p>
        </w:tc>
        <w:tc>
          <w:tcPr>
            <w:vAlign w:val="center"/>
          </w:tcPr>
          <w:p>
            <w:pPr>
              <w:jc w:val="center"/>
            </w:pPr>
            <w:r>
              <w:rPr>
                <w:sz w:val="20"/>
                <w:szCs w:val="20"/>
              </w:rPr>
              <w:t xml:space="preserve">Створення національної системи крові із відповідною структурою на державному та на обласних рівнях, а також на рівні суб’єктів господарювання, що надають послуги з трансфузії компонентів крові з чітким розподілом функцій;</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Запровадження  нових стандартів до безпеки і якості крові та її компонентів відповідно до Директив ЄС</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Створення компетентного органу для проведення інспекційних та інших заходів контролю суб’єктів господарювання, що здійснюють заготівлю, переробку, тестування, зберігання, розподіл та реалізацію донорської крові та її компонентів, а також суб’єктів, що надають послуги з трансфузії компонентів крові на постійній основі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Розвиток безоплатного добровільного донорства крові та її компонентів: пропаганда культури донорства, відповідний розвиток закладів та установ системи крові, поглиблення співпраці з волонтерами та громадським сектором</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Реалізація можливості державно-приватного партнерства в системі крові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Запровадження комп’ютеризованої системи управління інформацією з Національним реєстром донорів крові та її компонентів і осіб, яким заборонено виконувати донорські функції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Забезпечення оплати НСЗУ послуг закладам охорони здоров’я із врахуванням вартості компонентів крові</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МОЗ; ЦГЗ</w:t>
            </w:r>
          </w:p>
        </w:tc>
      </w:tr>
      <w:tr>
        <w:trPr/>
        <w:tc>
          <w:tcPr>
            <w:vAlign w:val="center"/>
            <w:vMerge w:val="restart"/>
          </w:tcPr>
          <w:p>
            <w:pPr>
              <w:jc w:val="center"/>
            </w:pPr>
            <w:r>
              <w:rPr>
                <w:sz w:val="20"/>
                <w:szCs w:val="20"/>
              </w:rPr>
              <w:t xml:space="preserve">Створення спроможної системи громадського здоров'я та забезпечення санітарно-епідемічного благополуччя населення</w:t>
            </w:r>
          </w:p>
        </w:tc>
        <w:tc>
          <w:tcPr>
            <w:vAlign w:val="center"/>
            <w:vMerge w:val="restart"/>
          </w:tcPr>
          <w:p>
            <w:pPr>
              <w:jc w:val="center"/>
            </w:pPr>
            <w:r>
              <w:rPr>
                <w:sz w:val="20"/>
                <w:szCs w:val="20"/>
              </w:rPr>
              <w:t xml:space="preserve">Забезпечити повноцінний доступ до профілактичних послуг та послуг з громадського здоров'я</w:t>
            </w:r>
          </w:p>
        </w:tc>
        <w:tc>
          <w:tcPr>
            <w:vAlign w:val="center"/>
          </w:tcPr>
          <w:p>
            <w:pPr>
              <w:jc w:val="center"/>
            </w:pPr>
            <w:r>
              <w:rPr>
                <w:sz w:val="20"/>
                <w:szCs w:val="20"/>
              </w:rPr>
              <w:t xml:space="preserve">Роз'яснювальна та методична робота з органами місцевого самоврядування на етапі створення та розвитку регіональних центрів громадського здоров'я</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Проведення інформаційних кампаній з метою зростання попиту на профілактичні послуги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МОЗ; ЦГЗ</w:t>
            </w:r>
          </w:p>
        </w:tc>
      </w:tr>
      <w:tr>
        <w:trPr/>
        <w:tc>
          <w:tcPr>
            <w:vMerge w:val="continue"/>
          </w:tcPr>
          <w:p/>
        </w:tc>
        <w:tc>
          <w:tcPr>
            <w:vAlign w:val="center"/>
            <w:vMerge w:val="restart"/>
          </w:tcPr>
          <w:p>
            <w:pPr>
              <w:jc w:val="center"/>
            </w:pPr>
            <w:r>
              <w:rPr>
                <w:sz w:val="20"/>
                <w:szCs w:val="20"/>
              </w:rPr>
              <w:t xml:space="preserve">Створити стійкий механізм фінансування системи та підвищення ефективності використання бюджетних коштів у сфері громадського здоров'я шляхом переходу від моделі утримання на модель закупівлі послуг</w:t>
            </w:r>
          </w:p>
        </w:tc>
        <w:tc>
          <w:tcPr>
            <w:vAlign w:val="center"/>
          </w:tcPr>
          <w:p>
            <w:pPr>
              <w:jc w:val="center"/>
            </w:pPr>
            <w:r>
              <w:rPr>
                <w:sz w:val="20"/>
                <w:szCs w:val="20"/>
              </w:rPr>
              <w:t xml:space="preserve">Забезпечення фінансування заходів для потреб громадського здоров’я та боротьби з епідеміями, у тому числі, на умовах конкурсу</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Розробка та затвердження переліку послуг у сфері громадського здоров'я</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МОЗ; ЦГЗ</w:t>
            </w:r>
          </w:p>
        </w:tc>
      </w:tr>
      <w:tr>
        <w:trPr/>
        <w:tc>
          <w:tcPr>
            <w:vMerge w:val="continue"/>
          </w:tcPr>
          <w:p/>
        </w:tc>
        <w:tc>
          <w:tcPr>
            <w:vAlign w:val="center"/>
            <w:vMerge w:val="restart"/>
          </w:tcPr>
          <w:p>
            <w:pPr>
              <w:jc w:val="center"/>
            </w:pPr>
            <w:r>
              <w:rPr>
                <w:sz w:val="20"/>
                <w:szCs w:val="20"/>
              </w:rPr>
              <w:t xml:space="preserve">Забезпечити розвиток і вдосконалення системи громадського здоров'я на загальнодержавному та регіональному рівнях</w:t>
            </w:r>
          </w:p>
        </w:tc>
        <w:tc>
          <w:tcPr>
            <w:vAlign w:val="center"/>
          </w:tcPr>
          <w:p>
            <w:pPr>
              <w:jc w:val="center"/>
            </w:pPr>
            <w:r>
              <w:rPr>
                <w:sz w:val="20"/>
                <w:szCs w:val="20"/>
              </w:rPr>
              <w:t xml:space="preserve">Визначення правових, організаційних, економічних та соціальних засад функціонування системи громадського здоров'я на загальнодержавному та регіональному рівнях</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w:t>
            </w:r>
          </w:p>
        </w:tc>
      </w:tr>
      <w:tr>
        <w:trPr/>
        <w:tc>
          <w:tcPr>
            <w:vMerge w:val="continue"/>
          </w:tcPr>
          <w:p/>
        </w:tc>
        <w:tc>
          <w:tcPr>
            <w:vAlign w:val="center"/>
            <w:vMerge w:val="restart"/>
          </w:tcPr>
          <w:p>
            <w:pPr>
              <w:jc w:val="center"/>
            </w:pPr>
            <w:r>
              <w:rPr>
                <w:sz w:val="20"/>
                <w:szCs w:val="20"/>
              </w:rPr>
              <w:t xml:space="preserve">Забезпечити розвиток кадрового  потенціалу в системі громадського здоров'я</w:t>
            </w:r>
          </w:p>
        </w:tc>
        <w:tc>
          <w:tcPr>
            <w:vAlign w:val="center"/>
          </w:tcPr>
          <w:p>
            <w:pPr>
              <w:jc w:val="center"/>
            </w:pPr>
            <w:r>
              <w:rPr>
                <w:sz w:val="20"/>
                <w:szCs w:val="20"/>
              </w:rPr>
              <w:t xml:space="preserve">Розробка і впровадження єдиного державного кваліфікаційного іспиту зі спеціальності 229 “Громадське здоров’я” для другого освітньо-кваліфікаційного рівня (магістр)</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Розробка стандарту вищої освіти за спеціальністю 229 “Громадське здоров’я” для третього освітньо-кваліфікаційного рівня (доктор філософії)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МОЗ; ЦГЗ; МОН </w:t>
            </w:r>
          </w:p>
        </w:tc>
      </w:tr>
      <w:tr>
        <w:trPr/>
        <w:tc>
          <w:tcPr>
            <w:vMerge w:val="continue"/>
          </w:tcPr>
          <w:p/>
        </w:tc>
        <w:tc>
          <w:tcPr>
            <w:vMerge w:val="continue"/>
          </w:tcPr>
          <w:p/>
        </w:tc>
        <w:tc>
          <w:tcPr>
            <w:vAlign w:val="center"/>
          </w:tcPr>
          <w:p>
            <w:pPr>
              <w:jc w:val="center"/>
            </w:pPr>
            <w:r>
              <w:rPr>
                <w:sz w:val="20"/>
                <w:szCs w:val="20"/>
              </w:rPr>
              <w:t xml:space="preserve">Розробка та затвердження кваліфікаційних вимог та характеристик для нових професій у сфері громадського здоров'я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ЦГЗ; Мінекономіки</w:t>
            </w:r>
          </w:p>
        </w:tc>
      </w:tr>
      <w:tr>
        <w:trPr/>
        <w:tc>
          <w:tcPr>
            <w:vMerge w:val="continue"/>
          </w:tcPr>
          <w:p/>
        </w:tc>
        <w:tc>
          <w:tcPr>
            <w:vAlign w:val="center"/>
            <w:vMerge w:val="restart"/>
          </w:tcPr>
          <w:p>
            <w:pPr>
              <w:jc w:val="center"/>
            </w:pPr>
            <w:r>
              <w:rPr>
                <w:sz w:val="20"/>
                <w:szCs w:val="20"/>
              </w:rPr>
              <w:t xml:space="preserve">Захистити територію від ввезення небезпечних інфекційних хвороб шляхом повної імплементації Міжнародних медико-санітарних правил</w:t>
            </w:r>
          </w:p>
        </w:tc>
        <w:tc>
          <w:tcPr>
            <w:vAlign w:val="center"/>
          </w:tcPr>
          <w:p>
            <w:pPr>
              <w:jc w:val="center"/>
            </w:pPr>
            <w:r>
              <w:rPr>
                <w:sz w:val="20"/>
                <w:szCs w:val="20"/>
              </w:rPr>
              <w:t xml:space="preserve">Визначення існуючих можливостей та потреб в пунктах в'їзду для прийняття рішення про призначення аеропортів, портів, наземних транспортних прикордонних вузлів, які відповідатимуть рекомендаціям міжнародних медико-санітарних правил</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ЦГЗ</w:t>
            </w:r>
          </w:p>
        </w:tc>
      </w:tr>
      <w:tr>
        <w:trPr/>
        <w:tc>
          <w:tcPr>
            <w:vMerge w:val="continue"/>
          </w:tcPr>
          <w:p/>
        </w:tc>
        <w:tc>
          <w:tcPr>
            <w:vMerge w:val="continue"/>
          </w:tcPr>
          <w:p/>
        </w:tc>
        <w:tc>
          <w:tcPr>
            <w:vAlign w:val="center"/>
          </w:tcPr>
          <w:p>
            <w:pPr>
              <w:jc w:val="center"/>
            </w:pPr>
            <w:r>
              <w:rPr>
                <w:sz w:val="20"/>
                <w:szCs w:val="20"/>
              </w:rPr>
              <w:t xml:space="preserve">Визначення аеропортів, портів, наземних транспортних вузлів та їх сертифікація у відповідності до положень ММСП</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МОЗ; ЦГЗ </w:t>
            </w:r>
          </w:p>
        </w:tc>
      </w:tr>
      <w:tr>
        <w:trPr/>
        <w:tc>
          <w:tcPr>
            <w:vMerge w:val="continue"/>
          </w:tcPr>
          <w:p/>
        </w:tc>
        <w:tc>
          <w:tcPr>
            <w:vMerge w:val="continue"/>
          </w:tcPr>
          <w:p/>
        </w:tc>
        <w:tc>
          <w:tcPr>
            <w:vAlign w:val="center"/>
          </w:tcPr>
          <w:p>
            <w:pPr>
              <w:jc w:val="center"/>
            </w:pPr>
            <w:r>
              <w:rPr>
                <w:sz w:val="20"/>
                <w:szCs w:val="20"/>
              </w:rPr>
              <w:t xml:space="preserve">Оновлення національного законодавства у сфері біобезпеки та біозахисту у відповідності до європейського законодавства, прийняття закону про біобезпеку та біозахист</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МОЗ</w:t>
            </w:r>
          </w:p>
        </w:tc>
      </w:tr>
      <w:tr>
        <w:trPr/>
        <w:tc>
          <w:tcPr>
            <w:vMerge w:val="continue"/>
          </w:tcPr>
          <w:p/>
        </w:tc>
        <w:tc>
          <w:tcPr>
            <w:vMerge w:val="continue"/>
          </w:tcPr>
          <w:p/>
        </w:tc>
        <w:tc>
          <w:tcPr>
            <w:vAlign w:val="center"/>
          </w:tcPr>
          <w:p>
            <w:pPr>
              <w:jc w:val="center"/>
            </w:pPr>
            <w:r>
              <w:rPr>
                <w:sz w:val="20"/>
                <w:szCs w:val="20"/>
              </w:rPr>
              <w:t xml:space="preserve">Забезпечення можливості держави виявляти, оцінювати, повідомляти і реєструвати події відповідно до міжнародних медико-санітарних правил, швидко та ефективно реагувати на ризики для населення, надзвичайні події у сфері громадського здоров'я, які мають міжнародне значення</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МОЗ; ЦГЗ</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B81BC0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2020-02-10T10:29:21+02:00</dcterms:created>
  <dcterms:modified xsi:type="dcterms:W3CDTF">2020-02-10T10:29:21+02:00</dcterms:modified>
</cp:coreProperties>
</file>

<file path=docProps/custom.xml><?xml version="1.0" encoding="utf-8"?>
<Properties xmlns="http://schemas.openxmlformats.org/officeDocument/2006/custom-properties" xmlns:vt="http://schemas.openxmlformats.org/officeDocument/2006/docPropsVTypes"/>
</file>