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ПРОЕКТ Концепції державної політики щодо досягнення цілі «3.4.Для людей похилого віку створені  умови для активного життя, вони мають кваліфікований  та сучасний догляд і гідне матеріальне забезпечення.  Створені умови для безпечного добровільного пенсійного накопичення» Програми діяльності Кабінету Міністрів України</w:t>
      </w:r>
    </w:p>
    <w:p>
      <w:pPr/>
      <w:r>
        <w:rPr>
          <w:b w:val="1"/>
          <w:bCs w:val="1"/>
        </w:rPr>
        <w:t xml:space="preserve">1.	ПРОБЛЕМА ПОЛІТИКИ</w:t>
      </w:r>
    </w:p>
    <w:p>
      <w:pPr/>
      <w:r>
        <w:rPr>
          <w:b w:val="1"/>
          <w:bCs w:val="1"/>
        </w:rPr>
        <w:t xml:space="preserve">1.1. Проблема</w:t>
      </w:r>
    </w:p>
    <w:p>
      <w:pPr/>
      <w:r>
        <w:rPr/>
        <w:t xml:space="preserve">Більшість людей похилого віку живуть за межею бідності</w:t>
      </w:r>
    </w:p>
    <w:p>
      <w:pPr/>
      <w:r>
        <w:rPr>
          <w:b w:val="1"/>
          <w:bCs w:val="1"/>
        </w:rPr>
        <w:t xml:space="preserve">1.2. Носій проблеми </w:t>
      </w:r>
    </w:p>
    <w:p>
      <w:pPr/>
      <w:r>
        <w:rPr/>
        <w:t xml:space="preserve">Пенсіонери (люди похилого віку)</w:t>
      </w:r>
    </w:p>
    <w:p>
      <w:pPr/>
      <w:r>
        <w:rPr>
          <w:b w:val="1"/>
          <w:bCs w:val="1"/>
        </w:rPr>
        <w:t xml:space="preserve">1.3. Масштаб проблеми: Загальнонаціональна</w:t>
      </w:r>
    </w:p>
    <w:p>
      <w:pPr/>
      <w:r>
        <w:rPr/>
        <w:t xml:space="preserve">Станом на 01.10.2019 з 11,3 млн пенсіонерів 82,7% отримували пенсію до 4000 грн</w:t>
      </w:r>
    </w:p>
    <w:p>
      <w:pPr/>
      <w:r>
        <w:rPr>
          <w:b w:val="1"/>
          <w:bCs w:val="1"/>
        </w:rPr>
        <w:t xml:space="preserve">1.4. Гострота проблеми: Гостра</w:t>
      </w:r>
    </w:p>
    <w:p>
      <w:pPr/>
      <w:r>
        <w:rPr/>
        <w:t xml:space="preserve">Для переважної більшості людей похилого віку пенсія є єдиним готівковим джерелом доходів для існування. При цьому за умови маленького розміру пенсій, такі люди потребують додаткового соціального забезпечення.</w:t>
      </w:r>
    </w:p>
    <w:p>
      <w:pPr/>
      <w:r>
        <w:rPr/>
        <w:t xml:space="preserve">У 2019 році досягнуто зростання середнього розміру пенсій з 2646 грн (на початок року) до 3020 грн (на 01.10.2019). Частка одержувачів пенсій, які отримують виплати на рівні до двох прожиткових мінімумів для осіб, які втратили працездатність, на початок 2019 року становила – 76,29 %</w:t>
      </w:r>
      <w:br/>
      <w:r>
        <w:rPr/>
        <w:t xml:space="preserve">(8,8 млн осіб).</w:t>
      </w:r>
    </w:p>
    <w:p>
      <w:pPr/>
      <w:r>
        <w:rPr/>
        <w:t xml:space="preserve">Станом на 01.10.2019 з 11,3 млн пенсіонерів 82,7% отримували пенсію до 4000 грн, у тому числі: 42,7% – до 2000 грн, 27,5% – від 2000 до 3000 грн, 12,5% – від 3000 до 4000 грн.</w:t>
      </w:r>
    </w:p>
    <w:p>
      <w:pPr/>
      <w:r>
        <w:rPr/>
        <w:t xml:space="preserve">Мінімальний розмір пенсії становив 1497 грн станом на 01.01.2019, 1564 грн – на 01.07.2019, 1638 грн – на 01.12.2019.</w:t>
      </w:r>
    </w:p>
    <w:p>
      <w:pPr/>
      <w:r>
        <w:rPr/>
        <w:t xml:space="preserve">З огляду на зазначене, лише 17,3 % одержувачів пенсійних виплат отримують пенсії у розмірі, що відповідає фактичному прожитковому мінімуму (понад 4 000 грн).</w:t>
      </w:r>
    </w:p>
    <w:p>
      <w:pPr/>
      <w:r>
        <w:rPr/>
        <w:t xml:space="preserve">Більшість майбутніх пенсіонерів також матимуть маленькі розміри пенсій, оскільки переважна частина працюючого населення отримують офіційну заробітну плату не більше двох мінімальних заробітних плат (у 2019 році з 10,3 млн працюючих 53,8%, у 2018 – 60,0%, у 2017 році – 62,8%) і лише 5% беруть участь у системі недержавного пенсійного забезпечення (при цьому більшість сплачують внески нерегулярно і в недостатньому розмірі).</w:t>
      </w:r>
    </w:p>
    <w:p>
      <w:pPr/>
      <w:r>
        <w:rPr/>
        <w:t xml:space="preserve">Відсутність інклюзивного середовища та доступних послуг не дає можливості людям похилого віку інтегруватися у соціум, вести повноцінне життя</w:t>
      </w:r>
    </w:p>
    <w:p>
      <w:pPr/>
      <w:r>
        <w:rPr>
          <w:b w:val="1"/>
          <w:bCs w:val="1"/>
        </w:rPr>
        <w:t xml:space="preserve">1.5. Динаміка проблеми:  Негативна</w:t>
      </w:r>
    </w:p>
    <w:p>
      <w:pPr/>
      <w:r>
        <w:rPr/>
        <w:t xml:space="preserve">Хоча номінальний розмір середньої пенсії за останні 5 років зріс майже удвічі (станом на 01.10.2019 становив</w:t>
      </w:r>
      <w:br/>
      <w:r>
        <w:rPr/>
        <w:t xml:space="preserve">3 020 грн, проти 1 582 грн на початок 2015 року) і частка одержувачів пенсій, які отримують виплати на рівні до двох прожиткових мінімумів для осіб, які втратили працездатність, зменшується (на початок 2016 року – 80,41 %, 2017 – 84,84 %, 2018 – 79,10 %, 2019 – 76,29 %), рівень пенсійного забезпечення залишається досить низьким. Коефіцієнт заміщення заробітку (співвідношення середньої пенсії та середньої заробітної плати, характеризує рівень життя пенсіонерів порівняно з середнім рівнем життя працюючого) має негативну динаміку. У 2015 році він становив 57 %, у 2017 – 38 %, у 2019 – 36 %, при мінімальному рекомендованому МОП – 40 %. </w:t>
      </w:r>
    </w:p>
    <w:p>
      <w:pPr/>
      <w:r>
        <w:rPr/>
        <w:t xml:space="preserve">При незмінних демографічних умовах, коли кількості населення старшого віку зростає, а кількість економічно активного – зменшується (зменшення народжуваності та міграційні процеси), та за відсутності стимулів до формування заощаджень на власну старість, рівень пенсійного забезпечення майбутніх пенсіонерів буде знижуватися</w:t>
      </w:r>
    </w:p>
    <w:p>
      <w:pPr/>
      <w:r>
        <w:rPr>
          <w:b w:val="1"/>
          <w:bCs w:val="1"/>
        </w:rPr>
        <w:t xml:space="preserve">1.6. Причини проблеми</w:t>
      </w:r>
    </w:p>
    <w:p>
      <w:pPr/>
      <w:r>
        <w:rPr/>
        <w:t xml:space="preserve">Причина 1 - Дефіцит коштів Пенсійного фонду України для фінансування пенсій у солідарній системі, зумовлений несистемними (популістськими) рішеннями та демографічною ситуацією</w:t>
      </w:r>
    </w:p>
    <w:p>
      <w:pPr/>
      <w:r>
        <w:rPr/>
        <w:t xml:space="preserve">Причина 2 - Недостатнє заохочення до сплати страхових внесків. Тіньова зайнятість</w:t>
      </w:r>
    </w:p>
    <w:p>
      <w:pPr/>
      <w:r>
        <w:rPr/>
        <w:t xml:space="preserve">Причина 3 - Відсутність стимулів до накопичення коштів на власну старість</w:t>
      </w:r>
    </w:p>
    <w:p>
      <w:pPr/>
      <w:r>
        <w:rPr/>
        <w:t xml:space="preserve">Причина 4 - Відсутність належного державного регулювання щодо надання соціальних послуг особам похилого віку, у тому числі приватним сектором</w:t>
      </w:r>
    </w:p>
    <w:p>
      <w:pPr/>
      <w:r>
        <w:rPr>
          <w:b w:val="1"/>
          <w:bCs w:val="1"/>
        </w:rPr>
        <w:t xml:space="preserve">1.7. Показники ефективності політики</w:t>
      </w:r>
    </w:p>
    <w:p>
      <w:pPr>
        <w:numPr>
          <w:ilvl w:val="0"/>
          <w:numId w:val="1"/>
        </w:numPr>
      </w:pPr>
      <w:r>
        <w:rPr/>
        <w:t xml:space="preserve">Кваліфікований догляд доступний всім людям похилого віку, яким він необхідний, -  як у публічному, так і приватному секторі</w:t>
      </w:r>
    </w:p>
    <w:p>
      <w:pPr>
        <w:numPr>
          <w:ilvl w:val="0"/>
          <w:numId w:val="1"/>
        </w:numPr>
      </w:pPr>
      <w:r>
        <w:rPr/>
        <w:t xml:space="preserve">Особа похилого віку отримує забезпечення не нижче прожиткового мінімуму</w:t>
      </w:r>
    </w:p>
    <w:p>
      <w:pPr/>
      <w:r>
        <w:rPr>
          <w:b w:val="1"/>
          <w:bCs w:val="1"/>
        </w:rPr>
        <w:t xml:space="preserve">1.8. Опис чинної державної політики щодо вирішення проблеми / її причин.</w:t>
      </w:r>
    </w:p>
    <w:p>
      <w:pPr/>
      <w:r>
        <w:rPr/>
        <w:t xml:space="preserve">Державна пенсійна система функціонує у вигляді розподільчої системи. Пенсії фінансуються за рахунок страхових внесків і коштів з державного бюджету та розподіляються між пенсіонерами. Так, станом на квітень 2019 року 2 323 078 домогосподарств отримали у готівковій формі субсидію через органи Пенсійного фонду України. У безготівковій формі надаються пільги та субсидії на оплату житлово-комунальних послуг, електроенергії та палива, послуг транспорту, зв’язку, оплату товарів та послуг з охорони здоров’я, путівок на оздоровлення тощо.</w:t>
      </w:r>
    </w:p>
    <w:p>
      <w:pPr/>
      <w:r>
        <w:rPr/>
        <w:t xml:space="preserve">Політика держави щодо соціального захисту людей похилого віку  ґрунтується на положеннях Конституції України, законів України „Про основні засади соціального захисту ветеранів праці та  інших громадян похилого віку”, „Про статус ветеранів війни, гарантії їх соціального захисту”, „Про загальнообов’язкове державне пенсійне страхування”, „Про місцеве самоврядування в Україні”, „Про місцеві державні адміністрації”, актів Президента України та Кабінету Міністрів України тощо.</w:t>
      </w:r>
    </w:p>
    <w:p>
      <w:pPr/>
      <w:r>
        <w:rPr/>
        <w:t xml:space="preserve">Нині в Україні проживає понад 9,5 млн. осіб старше 60 років. Відповідно до національного демографічного прогнозу, до 2025 р. частка осіб старших 60 років складатиме понад 25,0 %, осіб у віці понад 65 років і старших – 18,4 %, а до 2030 року – більше ніж 26,0 % і  20,0% відповідно.</w:t>
      </w:r>
    </w:p>
    <w:p>
      <w:pPr/>
      <w:r>
        <w:rPr/>
        <w:t xml:space="preserve">У 2018 році Урядом схвалено Стратегію державної політики з питань здорового та активного довголіття населення на період до 2022 року та відповідний план заходів (розпорядження Кабінету Міністрів України від 11.01.2018 № 10-р, від 26.09.2018 № 688-р).</w:t>
      </w:r>
    </w:p>
    <w:p>
      <w:pPr/>
      <w:r>
        <w:rPr/>
        <w:t xml:space="preserve">Наразі в Україні створено мережу суб’єктів, що надають соціальні послуги, а саме:</w:t>
      </w:r>
    </w:p>
    <w:p>
      <w:pPr/>
      <w:r>
        <w:rPr/>
        <w:t xml:space="preserve">676 територіальних центрів соціального обслуговування (надання соціальних послуг) (далі – територіальний центр) та 69 центів надання соціальних послуг, якими обслуговується понад 1,0 млн громадян похилого віку. У складі територіальних центрів діють відділення соціальної допомоги вдома (соціальну послугу догляду вдома отримують понад 402 тис. осіб),  відділення денного перебування, у яких надаються соціальні послуги соціальної адаптації, денного догляду, консультування, представництва інтересів, соціальної профілактики, посередництва (медіації) тощо (обслуговано близько   323 тис. осіб), відділення стаціонарного догляду для постійного або тимчасового проживання (соціальну послугу стаціонарного догляду отримують понад 10,0 тис. осіб), відділення організації надання адресної натуральної та грошової допомоги (натуральну допомогу (у вигляді гарячих обідів, продуктів харчування, одягу, взуття, палива, послуг перукарів, майстрів по пошиттю та ремонту одягу; взуття, ремонтів будівель, телерадіоапаратури тощо отримали понад 567 тис. осіб), їдальні (обслуговано понад 16 тис. осіб).</w:t>
      </w:r>
    </w:p>
    <w:p>
      <w:pPr/>
      <w:r>
        <w:rPr/>
        <w:t xml:space="preserve">Для соціалізації осіб похилого віку та надання соціальних послуг альтернативних інституційному догляду впроваджуються інноваційні соціальні послуги, зокрема соціально-педагогічна послуга „Університети третього віку” (послугу отримують понад 46 тис. осіб), паліативний догляд за місцем проживання (послугу отримують понад 127 осіб), догляд вдома осіб з психічними розладами (послугу отримують понад 1,0 тис. осіб); утворено і діють мультидисциплінарні команди, якими надано послуги близько 110 тис. осіб, транспортні послуги отримали понад 62 тис. осіб.</w:t>
      </w:r>
    </w:p>
    <w:p>
      <w:pPr/>
      <w:r>
        <w:rPr/>
        <w:t xml:space="preserve">Стаціонарний догляд громадянам похилого віку надається також інтернатними установами системи соціального захисту населення. Сьогодні в Україні діє 91 будинків-інтернатів для громадян похилого віку та осіб з інвалідністю, геріатричних пансіонатів, пансіонатів для ветеранів війни і праці, в яких проживають понад 12,4 тис. осіб.</w:t>
      </w:r>
    </w:p>
    <w:p>
      <w:pPr/>
      <w:r>
        <w:rPr/>
        <w:t xml:space="preserve">Розпочато роботу зі створення в геріатричних будинках інтернатах відділень паліативного догляду (послугу отримують особи з невиліковними хворобами, часто ліжковохворі, які потребують довготривалого догляду), відділень підтриманого проживання, відділень денного догляду.</w:t>
      </w:r>
    </w:p>
    <w:p>
      <w:pPr/>
      <w:r>
        <w:rPr/>
        <w:t xml:space="preserve">Новий Закон України “Про соціальні послуги” вступає в силу 1 січня 2020 року</w:t>
      </w:r>
    </w:p>
    <w:p>
      <w:pPr/>
      <w:r>
        <w:rPr>
          <w:b w:val="1"/>
          <w:bCs w:val="1"/>
        </w:rPr>
        <w:t xml:space="preserve">2.	ПРОПОНОВАНИЙ КУРС ПОЛІТИКИ</w:t>
      </w:r>
    </w:p>
    <w:p>
      <w:pPr/>
      <w:r>
        <w:rPr>
          <w:b w:val="1"/>
          <w:bCs w:val="1"/>
        </w:rPr>
        <w:t xml:space="preserve">2.1. Підціль 1 “Спростимо систему солідарного пенсійного страхування”</w:t>
      </w:r>
    </w:p>
    <w:p>
      <w:pPr/>
      <w:r>
        <w:rPr>
          <w:b w:val="1"/>
          <w:bCs w:val="1"/>
        </w:rPr>
        <w:t xml:space="preserve">Показники результативності: </w:t>
      </w:r>
    </w:p>
    <w:p>
      <w:pPr>
        <w:numPr>
          <w:ilvl w:val="0"/>
          <w:numId w:val="1"/>
        </w:numPr>
      </w:pPr>
      <w:r>
        <w:rPr/>
        <w:t xml:space="preserve">Забезпечено зростання середнього розміру пенсії</w:t>
      </w:r>
    </w:p>
    <w:p>
      <w:pPr>
        <w:numPr>
          <w:ilvl w:val="0"/>
          <w:numId w:val="1"/>
        </w:numPr>
      </w:pPr>
      <w:r>
        <w:rPr/>
        <w:t xml:space="preserve">Кількість відвідування веб-порталу електронних послуг Пенсійного фонду України збільшується</w:t>
      </w:r>
    </w:p>
    <w:p>
      <w:pPr/>
      <w:r>
        <w:rPr>
          <w:b w:val="1"/>
          <w:bCs w:val="1"/>
        </w:rPr>
        <w:t xml:space="preserve">Завдання до підцілі 1: </w:t>
      </w:r>
    </w:p>
    <w:p>
      <w:pPr>
        <w:numPr>
          <w:ilvl w:val="0"/>
          <w:numId w:val="1"/>
        </w:numPr>
      </w:pPr>
      <w:r>
        <w:rPr/>
        <w:t xml:space="preserve">Підготовимо єдиний кодифікований документ, що регулює питання пенсійного забезпечення всіх категорій громадян</w:t>
      </w:r>
    </w:p>
    <w:p>
      <w:pPr>
        <w:numPr>
          <w:ilvl w:val="0"/>
          <w:numId w:val="1"/>
        </w:numPr>
      </w:pPr>
      <w:r>
        <w:rPr/>
        <w:t xml:space="preserve">Розширимо функціонал порталу електронних послуг Пенсійного фонду України (особистого кабінету застрахованої особи та мобільного додатку)</w:t>
      </w:r>
    </w:p>
    <w:p>
      <w:pPr>
        <w:numPr>
          <w:ilvl w:val="0"/>
          <w:numId w:val="1"/>
        </w:numPr>
      </w:pPr>
      <w:r>
        <w:rPr/>
        <w:t xml:space="preserve">Розширення автоматизації процесів у системі пенсійного страхування</w:t>
      </w:r>
    </w:p>
    <w:p>
      <w:pPr>
        <w:numPr>
          <w:ilvl w:val="0"/>
          <w:numId w:val="1"/>
        </w:numPr>
      </w:pPr>
      <w:r>
        <w:rPr/>
        <w:t xml:space="preserve">Проведемо індексацію пенсій на показник, що відповідатиме 50 % показника зростання споживчих цін і 50 % показника зростання середньої заробітної плати за попередній рік</w:t>
      </w:r>
    </w:p>
    <w:p>
      <w:pPr>
        <w:numPr>
          <w:ilvl w:val="0"/>
          <w:numId w:val="1"/>
        </w:numPr>
      </w:pPr>
      <w:r>
        <w:rPr/>
        <w:t xml:space="preserve">Створимо на базі територіальних громад віддалених автоматизованих робочих місць для надання послуг у сфері пенсійного забезпечення без необхідності звернення до районних центрів</w:t>
      </w:r>
    </w:p>
    <w:p>
      <w:pPr/>
      <w:r>
        <w:rPr>
          <w:b w:val="1"/>
          <w:bCs w:val="1"/>
        </w:rPr>
        <w:t xml:space="preserve">2.2. Підціль 2 “Здійснимо перегляд стимулів до сплати єдиного соціального внеску. Створимо умови для підвищення та виведення “з тіні” доходів”</w:t>
      </w:r>
    </w:p>
    <w:p>
      <w:pPr/>
      <w:r>
        <w:rPr>
          <w:b w:val="1"/>
          <w:bCs w:val="1"/>
        </w:rPr>
        <w:t xml:space="preserve">Показники результативності: </w:t>
      </w:r>
    </w:p>
    <w:p>
      <w:pPr>
        <w:numPr>
          <w:ilvl w:val="0"/>
          <w:numId w:val="1"/>
        </w:numPr>
      </w:pPr>
      <w:r>
        <w:rPr/>
        <w:t xml:space="preserve">Чисельність застрахованих осіб зростає;</w:t>
      </w:r>
    </w:p>
    <w:p>
      <w:pPr>
        <w:numPr>
          <w:ilvl w:val="0"/>
          <w:numId w:val="1"/>
        </w:numPr>
      </w:pPr>
      <w:r>
        <w:rPr/>
        <w:t xml:space="preserve">Середній розмір заробітної плати (доходу), на яку нараховується (сплачується) єдиний внесок, збільшується</w:t>
      </w:r>
    </w:p>
    <w:p>
      <w:pPr>
        <w:numPr>
          <w:ilvl w:val="0"/>
          <w:numId w:val="1"/>
        </w:numPr>
      </w:pPr>
      <w:r>
        <w:rPr/>
        <w:t xml:space="preserve">Зростання заборгованості зі сплати єдиного внеску зупинено</w:t>
      </w:r>
    </w:p>
    <w:p>
      <w:pPr/>
      <w:r>
        <w:rPr>
          <w:b w:val="1"/>
          <w:bCs w:val="1"/>
        </w:rPr>
        <w:t xml:space="preserve">Завдання до підцілі 2: </w:t>
      </w:r>
    </w:p>
    <w:p>
      <w:pPr>
        <w:numPr>
          <w:ilvl w:val="0"/>
          <w:numId w:val="1"/>
        </w:numPr>
      </w:pPr>
      <w:r>
        <w:rPr/>
        <w:t xml:space="preserve">Розширення бази сплати єдиного внеску за принципом: чим більше найманих працівників і чим більша у них заробітна плата, тим менший відсоток нарахування єдиного внеску</w:t>
      </w:r>
    </w:p>
    <w:p>
      <w:pPr/>
      <w:r>
        <w:rPr>
          <w:b w:val="1"/>
          <w:bCs w:val="1"/>
        </w:rPr>
        <w:t xml:space="preserve">2.3. Підціль 3 “Стимулюватимемо відповідальне ставлення до фінансів та їх накопичення на власну старість. Створимо умови для безпечного добровільного пенсійного накопичення”</w:t>
      </w:r>
    </w:p>
    <w:p>
      <w:pPr/>
      <w:r>
        <w:rPr>
          <w:b w:val="1"/>
          <w:bCs w:val="1"/>
        </w:rPr>
        <w:t xml:space="preserve">Показники результативності: </w:t>
      </w:r>
    </w:p>
    <w:p>
      <w:pPr>
        <w:numPr>
          <w:ilvl w:val="0"/>
          <w:numId w:val="1"/>
        </w:numPr>
      </w:pPr>
      <w:r>
        <w:rPr/>
        <w:t xml:space="preserve">Відсоток працівників від економічно активного населення, які беруть участь на добровільних засадах у системі накопичувального пенсійного забезпечення, збільшено</w:t>
      </w:r>
    </w:p>
    <w:p>
      <w:pPr>
        <w:numPr>
          <w:ilvl w:val="0"/>
          <w:numId w:val="1"/>
        </w:numPr>
      </w:pPr>
      <w:r>
        <w:rPr/>
        <w:t xml:space="preserve">Кількість роботодавців, залучених до системи накопичувального пенсійного забезпечення, в тому числі професійної пенсійної системи збільшено</w:t>
      </w:r>
    </w:p>
    <w:p>
      <w:pPr>
        <w:numPr>
          <w:ilvl w:val="0"/>
          <w:numId w:val="1"/>
        </w:numPr>
      </w:pPr>
      <w:r>
        <w:rPr/>
        <w:t xml:space="preserve">Обізнаність людей щодо системи накопичувального пенсійного забезпечення зросла</w:t>
      </w:r>
    </w:p>
    <w:p>
      <w:pPr>
        <w:numPr>
          <w:ilvl w:val="0"/>
          <w:numId w:val="1"/>
        </w:numPr>
      </w:pPr>
      <w:r>
        <w:rPr/>
        <w:t xml:space="preserve">Випадки шахрайства у системі накопичувального пенсійного забезпечення відсутні (або попереджені і усунуті)</w:t>
      </w:r>
    </w:p>
    <w:p>
      <w:pPr/>
      <w:r>
        <w:rPr>
          <w:b w:val="1"/>
          <w:bCs w:val="1"/>
        </w:rPr>
        <w:t xml:space="preserve">Завдання до підцілі 3: </w:t>
      </w:r>
    </w:p>
    <w:p>
      <w:pPr>
        <w:numPr>
          <w:ilvl w:val="0"/>
          <w:numId w:val="1"/>
        </w:numPr>
      </w:pPr>
      <w:r>
        <w:rPr/>
        <w:t xml:space="preserve">Запровадимо обов’язкову професійну накопичувальну пенсійну систему</w:t>
      </w:r>
    </w:p>
    <w:p>
      <w:pPr>
        <w:numPr>
          <w:ilvl w:val="0"/>
          <w:numId w:val="1"/>
        </w:numPr>
      </w:pPr>
      <w:r>
        <w:rPr/>
        <w:t xml:space="preserve">Створимо умови для забезпечення збереження пенсійних накопичень (превенція шахрайства з пенсійними накопиченнями)</w:t>
      </w:r>
    </w:p>
    <w:p>
      <w:pPr>
        <w:numPr>
          <w:ilvl w:val="0"/>
          <w:numId w:val="1"/>
        </w:numPr>
      </w:pPr>
      <w:r>
        <w:rPr/>
        <w:t xml:space="preserve">Створимо стимули для накопичення коштів на власну старість</w:t>
      </w:r>
    </w:p>
    <w:p>
      <w:pPr/>
      <w:r>
        <w:rPr>
          <w:b w:val="1"/>
          <w:bCs w:val="1"/>
        </w:rPr>
        <w:t xml:space="preserve">2.4. Підціль 4 “Забезпечимо розвиток та належне державне регулювання надання соціальних послуг особам похилого віку”</w:t>
      </w:r>
    </w:p>
    <w:p>
      <w:pPr/>
      <w:r>
        <w:rPr>
          <w:b w:val="1"/>
          <w:bCs w:val="1"/>
        </w:rPr>
        <w:t xml:space="preserve">Показники результативності: </w:t>
      </w:r>
    </w:p>
    <w:p>
      <w:pPr/>
      <w:r>
        <w:rPr>
          <w:b w:val="1"/>
          <w:bCs w:val="1"/>
        </w:rPr>
        <w:t xml:space="preserve">Завдання до підцілі 4: </w:t>
      </w:r>
    </w:p>
    <w:p>
      <w:pPr>
        <w:numPr>
          <w:ilvl w:val="0"/>
          <w:numId w:val="1"/>
        </w:numPr>
      </w:pPr>
      <w:r>
        <w:rPr/>
        <w:t xml:space="preserve">Збільшимо кількість надавачів соціальних послуг з недержавного сектору</w:t>
      </w:r>
    </w:p>
    <w:p>
      <w:pPr>
        <w:numPr>
          <w:ilvl w:val="0"/>
          <w:numId w:val="1"/>
        </w:numPr>
      </w:pPr>
      <w:r>
        <w:rPr/>
        <w:t xml:space="preserve">Підвищення якості соціальних послуг для осіб похилого віку</w:t>
      </w:r>
    </w:p>
    <w:p>
      <w:pPr>
        <w:sectPr>
          <w:pgSz w:orient="portrait" w:w="11905.511811024" w:h="16837.795275591"/>
          <w:pgMar w:top="1440" w:right="1440" w:bottom="1440" w:left="1440" w:header="720" w:footer="720" w:gutter="0"/>
          <w:cols w:num="1" w:space="720"/>
        </w:sectPr>
      </w:pPr>
    </w:p>
    <w:p>
      <w:pPr>
        <w:jc w:val="center"/>
      </w:pPr>
      <w:r>
        <w:rPr>
          <w:sz w:val="24"/>
          <w:szCs w:val="24"/>
          <w:b w:val="1"/>
          <w:bCs w:val="1"/>
        </w:rPr>
        <w:t xml:space="preserve">План реалізації державної політики для досягнення цілі</w:t>
      </w:r>
    </w:p>
    <w:tbl>
      <w:tblGrid>
        <w:gridCol/>
        <w:gridCol/>
        <w:gridCol/>
        <w:gridCol/>
        <w:gridCol/>
        <w:gridCol/>
      </w:tblGrid>
      <w:tblPr>
        <w:tblStyle w:val="Colspan Rowspan"/>
      </w:tblPr>
      <w:tr>
        <w:trPr/>
        <w:tc>
          <w:tcPr>
            <w:vAlign w:val="center"/>
          </w:tcPr>
          <w:p>
            <w:pPr>
              <w:jc w:val="center"/>
            </w:pPr>
            <w:r>
              <w:rPr>
                <w:sz w:val="20"/>
                <w:szCs w:val="20"/>
                <w:b w:val="1"/>
                <w:bCs w:val="1"/>
              </w:rPr>
              <w:t xml:space="preserve">Підціль</w:t>
            </w:r>
          </w:p>
        </w:tc>
        <w:tc>
          <w:tcPr>
            <w:vAlign w:val="center"/>
          </w:tcPr>
          <w:p>
            <w:pPr>
              <w:jc w:val="center"/>
            </w:pPr>
            <w:r>
              <w:rPr>
                <w:sz w:val="20"/>
                <w:szCs w:val="20"/>
                <w:b w:val="1"/>
                <w:bCs w:val="1"/>
              </w:rPr>
              <w:t xml:space="preserve">Завдання</w:t>
            </w:r>
          </w:p>
        </w:tc>
        <w:tc>
          <w:tcPr>
            <w:vAlign w:val="center"/>
          </w:tcPr>
          <w:p>
            <w:pPr>
              <w:jc w:val="center"/>
            </w:pPr>
            <w:r>
              <w:rPr>
                <w:sz w:val="20"/>
                <w:szCs w:val="20"/>
                <w:b w:val="1"/>
                <w:bCs w:val="1"/>
              </w:rPr>
              <w:t xml:space="preserve">Захід</w:t>
            </w:r>
          </w:p>
        </w:tc>
        <w:tc>
          <w:tcPr>
            <w:vAlign w:val="center"/>
          </w:tcPr>
          <w:p>
            <w:pPr>
              <w:jc w:val="center"/>
            </w:pPr>
            <w:r>
              <w:rPr>
                <w:sz w:val="20"/>
                <w:szCs w:val="20"/>
                <w:b w:val="1"/>
                <w:bCs w:val="1"/>
              </w:rPr>
              <w:t xml:space="preserve">Початок</w:t>
            </w:r>
          </w:p>
        </w:tc>
        <w:tc>
          <w:tcPr>
            <w:vAlign w:val="center"/>
          </w:tcPr>
          <w:p>
            <w:pPr>
              <w:jc w:val="center"/>
            </w:pPr>
            <w:r>
              <w:rPr>
                <w:sz w:val="20"/>
                <w:szCs w:val="20"/>
                <w:b w:val="1"/>
                <w:bCs w:val="1"/>
              </w:rPr>
              <w:t xml:space="preserve">Закінчення</w:t>
            </w:r>
          </w:p>
        </w:tc>
        <w:tc>
          <w:tcPr>
            <w:vAlign w:val="center"/>
          </w:tcPr>
          <w:p>
            <w:pPr>
              <w:jc w:val="center"/>
            </w:pPr>
            <w:r>
              <w:rPr>
                <w:sz w:val="20"/>
                <w:szCs w:val="20"/>
                <w:b w:val="1"/>
                <w:bCs w:val="1"/>
              </w:rPr>
              <w:t xml:space="preserve">Відповідальний орган влади</w:t>
            </w:r>
          </w:p>
        </w:tc>
      </w:tr>
      <w:tr>
        <w:trPr/>
        <w:tc>
          <w:tcPr>
            <w:vAlign w:val="center"/>
            <w:vMerge w:val="restart"/>
          </w:tcPr>
          <w:p>
            <w:pPr>
              <w:jc w:val="center"/>
            </w:pPr>
            <w:r>
              <w:rPr>
                <w:sz w:val="20"/>
                <w:szCs w:val="20"/>
              </w:rPr>
              <w:t xml:space="preserve">Спростимо систему солідарного пенсійного страхування</w:t>
            </w:r>
          </w:p>
        </w:tc>
        <w:tc>
          <w:tcPr>
            <w:vAlign w:val="center"/>
            <w:vMerge w:val="restart"/>
          </w:tcPr>
          <w:p>
            <w:pPr>
              <w:jc w:val="center"/>
            </w:pPr>
            <w:r>
              <w:rPr>
                <w:sz w:val="20"/>
                <w:szCs w:val="20"/>
              </w:rPr>
              <w:t xml:space="preserve">Підготовимо єдиний кодифікований документ, що регулює питання пенсійного забезпечення всіх категорій громадян</w:t>
            </w:r>
          </w:p>
        </w:tc>
        <w:tc>
          <w:tcPr>
            <w:vAlign w:val="center"/>
          </w:tcPr>
          <w:p>
            <w:pPr>
              <w:jc w:val="center"/>
            </w:pPr>
            <w:r>
              <w:rPr>
                <w:sz w:val="20"/>
                <w:szCs w:val="20"/>
              </w:rPr>
              <w:t xml:space="preserve">Підготовка та обговорення концепції Пенсійного кодексу України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30-09-2020</w:t>
            </w:r>
          </w:p>
        </w:tc>
        <w:tc>
          <w:tcPr>
            <w:vAlign w:val="center"/>
          </w:tcPr>
          <w:p>
            <w:pPr>
              <w:jc w:val="center"/>
            </w:pPr>
            <w:r>
              <w:rPr>
                <w:sz w:val="20"/>
                <w:szCs w:val="20"/>
              </w:rPr>
              <w:t xml:space="preserve">Мінсоцполітики;
Пенсійний фонд України
</w:t>
            </w:r>
          </w:p>
        </w:tc>
      </w:tr>
      <w:tr>
        <w:trPr/>
        <w:tc>
          <w:tcPr>
            <w:vMerge w:val="continue"/>
          </w:tcPr>
          <w:p/>
        </w:tc>
        <w:tc>
          <w:tcPr>
            <w:vMerge w:val="continue"/>
          </w:tcPr>
          <w:p/>
        </w:tc>
        <w:tc>
          <w:tcPr>
            <w:vAlign w:val="center"/>
          </w:tcPr>
          <w:p>
            <w:pPr>
              <w:jc w:val="center"/>
            </w:pPr>
            <w:r>
              <w:rPr>
                <w:sz w:val="20"/>
                <w:szCs w:val="20"/>
              </w:rPr>
              <w:t xml:space="preserve">Розроблення Пенсійного кодексу України</w:t>
            </w:r>
          </w:p>
        </w:tc>
        <w:tc>
          <w:tcPr>
            <w:tcW w:w="1500" w:type="dxa"/>
            <w:vAlign w:val="center"/>
          </w:tcPr>
          <w:p>
            <w:pPr>
              <w:jc w:val="center"/>
            </w:pPr>
            <w:r>
              <w:rPr>
                <w:sz w:val="20"/>
                <w:szCs w:val="20"/>
              </w:rPr>
              <w:t xml:space="preserve">01-10-2020</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Мінсоцполітики;
Пенсійний фонд України
</w:t>
            </w:r>
          </w:p>
        </w:tc>
      </w:tr>
      <w:tr>
        <w:trPr/>
        <w:tc>
          <w:tcPr>
            <w:vMerge w:val="continue"/>
          </w:tcPr>
          <w:p/>
        </w:tc>
        <w:tc>
          <w:tcPr>
            <w:vAlign w:val="center"/>
            <w:vMerge w:val="restart"/>
          </w:tcPr>
          <w:p>
            <w:pPr>
              <w:jc w:val="center"/>
            </w:pPr>
            <w:r>
              <w:rPr>
                <w:sz w:val="20"/>
                <w:szCs w:val="20"/>
              </w:rPr>
              <w:t xml:space="preserve">Розширимо функціонал порталу електронних послуг Пенсійного фонду України (особистого кабінету застрахованої особи та мобільного додатку)</w:t>
            </w:r>
          </w:p>
        </w:tc>
        <w:tc>
          <w:tcPr>
            <w:vAlign w:val="center"/>
          </w:tcPr>
          <w:p>
            <w:pPr>
              <w:jc w:val="center"/>
            </w:pPr>
            <w:r>
              <w:rPr>
                <w:sz w:val="20"/>
                <w:szCs w:val="20"/>
              </w:rPr>
              <w:t xml:space="preserve">Створення та запровадження сервісу ведення електронних трудових книжок на базі Реєстру застрахованих осіб Державного реєстру загальнообов’язкового соціального страхування</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31-12-2019</w:t>
            </w:r>
          </w:p>
        </w:tc>
        <w:tc>
          <w:tcPr>
            <w:vAlign w:val="center"/>
          </w:tcPr>
          <w:p>
            <w:pPr>
              <w:jc w:val="center"/>
            </w:pPr>
            <w:r>
              <w:rPr>
                <w:sz w:val="20"/>
                <w:szCs w:val="20"/>
              </w:rPr>
              <w:t xml:space="preserve">Мінсоцполітики;
Пенсійний фонд України
</w:t>
            </w:r>
          </w:p>
        </w:tc>
      </w:tr>
      <w:tr>
        <w:trPr/>
        <w:tc>
          <w:tcPr>
            <w:vMerge w:val="continue"/>
          </w:tcPr>
          <w:p/>
        </w:tc>
        <w:tc>
          <w:tcPr>
            <w:vMerge w:val="continue"/>
          </w:tcPr>
          <w:p/>
        </w:tc>
        <w:tc>
          <w:tcPr>
            <w:vAlign w:val="center"/>
          </w:tcPr>
          <w:p>
            <w:pPr>
              <w:jc w:val="center"/>
            </w:pPr>
            <w:r>
              <w:rPr>
                <w:sz w:val="20"/>
                <w:szCs w:val="20"/>
              </w:rPr>
              <w:t xml:space="preserve">Запровадження сервісу призначення пенсій, отримання довідок для оформлення листків непрацездатності, довідок про доходи за допомогою мобільного додатку</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31-12-2019</w:t>
            </w:r>
          </w:p>
        </w:tc>
        <w:tc>
          <w:tcPr>
            <w:vAlign w:val="center"/>
          </w:tcPr>
          <w:p>
            <w:pPr>
              <w:jc w:val="center"/>
            </w:pPr>
            <w:r>
              <w:rPr>
                <w:sz w:val="20"/>
                <w:szCs w:val="20"/>
              </w:rPr>
              <w:t xml:space="preserve">Мінсоцполітики;
Пенсійний фонд України
</w:t>
            </w:r>
          </w:p>
        </w:tc>
      </w:tr>
      <w:tr>
        <w:trPr/>
        <w:tc>
          <w:tcPr>
            <w:vMerge w:val="continue"/>
          </w:tcPr>
          <w:p/>
        </w:tc>
        <w:tc>
          <w:tcPr>
            <w:vMerge w:val="continue"/>
          </w:tcPr>
          <w:p/>
        </w:tc>
        <w:tc>
          <w:tcPr>
            <w:vAlign w:val="center"/>
          </w:tcPr>
          <w:p>
            <w:pPr>
              <w:jc w:val="center"/>
            </w:pPr>
            <w:r>
              <w:rPr>
                <w:sz w:val="20"/>
                <w:szCs w:val="20"/>
              </w:rPr>
              <w:t xml:space="preserve">Запровадження механізму призначення пенсій при досягненні пенсійного віку без особистого звернення до територіальних органів Пенсійного фонду України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Мінсоцполітики;
Пенсійний фонд України
</w:t>
            </w:r>
          </w:p>
        </w:tc>
      </w:tr>
      <w:tr>
        <w:trPr/>
        <w:tc>
          <w:tcPr>
            <w:vMerge w:val="continue"/>
          </w:tcPr>
          <w:p/>
        </w:tc>
        <w:tc>
          <w:tcPr>
            <w:vMerge w:val="continue"/>
          </w:tcPr>
          <w:p/>
        </w:tc>
        <w:tc>
          <w:tcPr>
            <w:vAlign w:val="center"/>
          </w:tcPr>
          <w:p>
            <w:pPr>
              <w:jc w:val="center"/>
            </w:pPr>
            <w:r>
              <w:rPr>
                <w:sz w:val="20"/>
                <w:szCs w:val="20"/>
              </w:rPr>
              <w:t xml:space="preserve">Забезпечення можливості автоматичного розрахунку прогнозного розміру пенсії - „Пенсійний калькулятор”</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31-12-2019</w:t>
            </w:r>
          </w:p>
        </w:tc>
        <w:tc>
          <w:tcPr>
            <w:vAlign w:val="center"/>
          </w:tcPr>
          <w:p>
            <w:pPr>
              <w:jc w:val="center"/>
            </w:pPr>
            <w:r>
              <w:rPr>
                <w:sz w:val="20"/>
                <w:szCs w:val="20"/>
              </w:rPr>
              <w:t xml:space="preserve">Мінсоцполітики;
Пенсійний фонд України
</w:t>
            </w:r>
          </w:p>
        </w:tc>
      </w:tr>
      <w:tr>
        <w:trPr/>
        <w:tc>
          <w:tcPr>
            <w:vMerge w:val="continue"/>
          </w:tcPr>
          <w:p/>
        </w:tc>
        <w:tc>
          <w:tcPr>
            <w:vAlign w:val="center"/>
            <w:vMerge w:val="restart"/>
          </w:tcPr>
          <w:p>
            <w:pPr>
              <w:jc w:val="center"/>
            </w:pPr>
            <w:r>
              <w:rPr>
                <w:sz w:val="20"/>
                <w:szCs w:val="20"/>
              </w:rPr>
              <w:t xml:space="preserve">Розширення автоматизації процесів у системі пенсійного страхування</w:t>
            </w:r>
          </w:p>
        </w:tc>
        <w:tc>
          <w:tcPr>
            <w:vAlign w:val="center"/>
          </w:tcPr>
          <w:p>
            <w:pPr>
              <w:jc w:val="center"/>
            </w:pPr>
            <w:r>
              <w:rPr>
                <w:sz w:val="20"/>
                <w:szCs w:val="20"/>
              </w:rPr>
              <w:t xml:space="preserve">Розробка програмного забезпечення, що дозволить здійснювати довгострокове прогнозування у системі пенсійного страхування</w:t>
            </w:r>
          </w:p>
        </w:tc>
        <w:tc>
          <w:tcPr>
            <w:tcW w:w="1500" w:type="dxa"/>
            <w:vAlign w:val="center"/>
          </w:tcPr>
          <w:p>
            <w:pPr>
              <w:jc w:val="center"/>
            </w:pPr>
            <w:r>
              <w:rPr>
                <w:sz w:val="20"/>
                <w:szCs w:val="20"/>
              </w:rPr>
              <w:t xml:space="preserve">01-04-2020</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Мінсоцполітики;
Пенсійний фонд України
</w:t>
            </w:r>
          </w:p>
        </w:tc>
      </w:tr>
      <w:tr>
        <w:trPr/>
        <w:tc>
          <w:tcPr>
            <w:vMerge w:val="continue"/>
          </w:tcPr>
          <w:p/>
        </w:tc>
        <w:tc>
          <w:tcPr>
            <w:vMerge w:val="continue"/>
          </w:tcPr>
          <w:p/>
        </w:tc>
        <w:tc>
          <w:tcPr>
            <w:vAlign w:val="center"/>
          </w:tcPr>
          <w:p>
            <w:pPr>
              <w:jc w:val="center"/>
            </w:pPr>
            <w:r>
              <w:rPr>
                <w:sz w:val="20"/>
                <w:szCs w:val="20"/>
              </w:rPr>
              <w:t xml:space="preserve">Розробка та впровадження комп’ютерних програм для забезпечення автоматичного перерахунку пенсій</w:t>
            </w:r>
          </w:p>
        </w:tc>
        <w:tc>
          <w:tcPr>
            <w:tcW w:w="1500" w:type="dxa"/>
            <w:vAlign w:val="center"/>
          </w:tcPr>
          <w:p>
            <w:pPr>
              <w:jc w:val="center"/>
            </w:pPr>
            <w:r>
              <w:rPr>
                <w:sz w:val="20"/>
                <w:szCs w:val="20"/>
              </w:rPr>
              <w:t xml:space="preserve">01-04-2020</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Мінсоцполітики;
Пенсійний фонд України
</w:t>
            </w:r>
          </w:p>
        </w:tc>
      </w:tr>
      <w:tr>
        <w:trPr/>
        <w:tc>
          <w:tcPr>
            <w:vMerge w:val="continue"/>
          </w:tcPr>
          <w:p/>
        </w:tc>
        <w:tc>
          <w:tcPr>
            <w:vMerge w:val="continue"/>
          </w:tcPr>
          <w:p/>
        </w:tc>
        <w:tc>
          <w:tcPr>
            <w:vAlign w:val="center"/>
          </w:tcPr>
          <w:p>
            <w:pPr>
              <w:jc w:val="center"/>
            </w:pPr>
            <w:r>
              <w:rPr>
                <w:sz w:val="20"/>
                <w:szCs w:val="20"/>
              </w:rPr>
              <w:t xml:space="preserve">Створення електронних пенсійних справ з наданням пенсіонерам дистанційного доступу до них, шляхом оцифрування паперових документів, які були підставою для призначення пенсій</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Мінсоцполітики;
Пенсійний фонд України
</w:t>
            </w:r>
          </w:p>
        </w:tc>
      </w:tr>
      <w:tr>
        <w:trPr/>
        <w:tc>
          <w:tcPr>
            <w:vMerge w:val="continue"/>
          </w:tcPr>
          <w:p/>
        </w:tc>
        <w:tc>
          <w:tcPr>
            <w:vAlign w:val="center"/>
            <w:vMerge w:val="restart"/>
          </w:tcPr>
          <w:p>
            <w:pPr>
              <w:jc w:val="center"/>
            </w:pPr>
            <w:r>
              <w:rPr>
                <w:sz w:val="20"/>
                <w:szCs w:val="20"/>
              </w:rPr>
              <w:t xml:space="preserve">Проведемо індексацію пенсій на показник, що відповідатиме 50 % показника зростання споживчих цін і 50 % показника зростання середньої заробітної плати за попередній рік</w:t>
            </w:r>
          </w:p>
        </w:tc>
        <w:tc>
          <w:tcPr>
            <w:vAlign w:val="center"/>
          </w:tcPr>
          <w:p>
            <w:pPr>
              <w:jc w:val="center"/>
            </w:pPr>
            <w:r>
              <w:rPr>
                <w:sz w:val="20"/>
                <w:szCs w:val="20"/>
              </w:rPr>
              <w:t xml:space="preserve">Отримання показника зростання споживчих цін та показника зростання середньої заробітної плати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Мінсоцполітики;
Пенсійний фонд України
</w:t>
            </w:r>
          </w:p>
        </w:tc>
      </w:tr>
      <w:tr>
        <w:trPr/>
        <w:tc>
          <w:tcPr>
            <w:vMerge w:val="continue"/>
          </w:tcPr>
          <w:p/>
        </w:tc>
        <w:tc>
          <w:tcPr>
            <w:vMerge w:val="continue"/>
          </w:tcPr>
          <w:p/>
        </w:tc>
        <w:tc>
          <w:tcPr>
            <w:vAlign w:val="center"/>
          </w:tcPr>
          <w:p>
            <w:pPr>
              <w:jc w:val="center"/>
            </w:pPr>
            <w:r>
              <w:rPr>
                <w:sz w:val="20"/>
                <w:szCs w:val="20"/>
              </w:rPr>
              <w:t xml:space="preserve">Розроблення  проекту постанови Кабінету Міністрів України щодо проведення індексації пенсії</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Мінсоцполітики;
Пенсійний фонд України
</w:t>
            </w:r>
          </w:p>
        </w:tc>
      </w:tr>
      <w:tr>
        <w:trPr/>
        <w:tc>
          <w:tcPr>
            <w:vMerge w:val="continue"/>
          </w:tcPr>
          <w:p/>
        </w:tc>
        <w:tc>
          <w:tcPr>
            <w:vAlign w:val="center"/>
            <w:vMerge w:val="restart"/>
          </w:tcPr>
          <w:p>
            <w:pPr>
              <w:jc w:val="center"/>
            </w:pPr>
            <w:r>
              <w:rPr>
                <w:sz w:val="20"/>
                <w:szCs w:val="20"/>
              </w:rPr>
              <w:t xml:space="preserve">Створимо на базі територіальних громад віддалених автоматизованих робочих місць для надання послуг у сфері пенсійного забезпечення без необхідності звернення до районних центрів</w:t>
            </w:r>
          </w:p>
        </w:tc>
        <w:tc>
          <w:tcPr>
            <w:vAlign w:val="center"/>
          </w:tcPr>
          <w:p>
            <w:pPr>
              <w:jc w:val="center"/>
            </w:pPr>
            <w:r>
              <w:rPr>
                <w:sz w:val="20"/>
                <w:szCs w:val="20"/>
              </w:rPr>
              <w:t xml:space="preserve">Фахівці територіальних органів Пенсійного фонду надають послуги у територіальних громадах</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Мінсоцполітики;
Пенсійний фонд України
</w:t>
            </w:r>
          </w:p>
        </w:tc>
      </w:tr>
      <w:tr>
        <w:trPr/>
        <w:tc>
          <w:tcPr>
            <w:vAlign w:val="center"/>
            <w:vMerge w:val="restart"/>
          </w:tcPr>
          <w:p>
            <w:pPr>
              <w:jc w:val="center"/>
            </w:pPr>
            <w:r>
              <w:rPr>
                <w:sz w:val="20"/>
                <w:szCs w:val="20"/>
              </w:rPr>
              <w:t xml:space="preserve">Здійснимо перегляд стимулів до сплати єдиного соціального внеску. Створимо умови для підвищення та виведення “з тіні” доходів</w:t>
            </w:r>
          </w:p>
        </w:tc>
        <w:tc>
          <w:tcPr>
            <w:vAlign w:val="center"/>
            <w:vMerge w:val="restart"/>
          </w:tcPr>
          <w:p>
            <w:pPr>
              <w:jc w:val="center"/>
            </w:pPr>
            <w:r>
              <w:rPr>
                <w:sz w:val="20"/>
                <w:szCs w:val="20"/>
              </w:rPr>
              <w:t xml:space="preserve">Розширення бази сплати єдиного внеску за принципом: чим більше найманих працівників і чим більша у них заробітна плата, тим менший відсоток нарахування єдиного внеску</w:t>
            </w:r>
          </w:p>
        </w:tc>
        <w:tc>
          <w:tcPr>
            <w:vAlign w:val="center"/>
          </w:tcPr>
          <w:p>
            <w:pPr>
              <w:jc w:val="center"/>
            </w:pPr>
            <w:r>
              <w:rPr>
                <w:sz w:val="20"/>
                <w:szCs w:val="20"/>
              </w:rPr>
              <w:t xml:space="preserve">Розроблення законопроекту щодо розширення бази сплати єдиного внеску</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Мінсоцполітики;
Пенсійний фонд України
</w:t>
            </w:r>
          </w:p>
        </w:tc>
      </w:tr>
      <w:tr>
        <w:trPr/>
        <w:tc>
          <w:tcPr>
            <w:vMerge w:val="continue"/>
          </w:tcPr>
          <w:p/>
        </w:tc>
        <w:tc>
          <w:tcPr>
            <w:vMerge w:val="continue"/>
          </w:tcPr>
          <w:p/>
        </w:tc>
        <w:tc>
          <w:tcPr>
            <w:vAlign w:val="center"/>
          </w:tcPr>
          <w:p>
            <w:pPr>
              <w:jc w:val="center"/>
            </w:pPr>
            <w:r>
              <w:rPr>
                <w:sz w:val="20"/>
                <w:szCs w:val="20"/>
              </w:rPr>
              <w:t xml:space="preserve">Проведення загальнодержавної інформаційної кампанії, спрямованої на пропагування вигоди від участі в системі соціального страхування та невідворотності негативних наслідків у разі несплати або ухилення від сплати єдиного внеску</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Мінсоцполітики;
Пенсійний фонд України
</w:t>
            </w:r>
          </w:p>
        </w:tc>
      </w:tr>
      <w:tr>
        <w:trPr/>
        <w:tc>
          <w:tcPr>
            <w:vAlign w:val="center"/>
            <w:vMerge w:val="restart"/>
          </w:tcPr>
          <w:p>
            <w:pPr>
              <w:jc w:val="center"/>
            </w:pPr>
            <w:r>
              <w:rPr>
                <w:sz w:val="20"/>
                <w:szCs w:val="20"/>
              </w:rPr>
              <w:t xml:space="preserve">Стимулюватимемо відповідальне ставлення до фінансів та їх накопичення на власну старість. Створимо умови для безпечного добровільного пенсійного накопичення</w:t>
            </w:r>
          </w:p>
        </w:tc>
        <w:tc>
          <w:tcPr>
            <w:vAlign w:val="center"/>
            <w:vMerge w:val="restart"/>
          </w:tcPr>
          <w:p>
            <w:pPr>
              <w:jc w:val="center"/>
            </w:pPr>
            <w:r>
              <w:rPr>
                <w:sz w:val="20"/>
                <w:szCs w:val="20"/>
              </w:rPr>
              <w:t xml:space="preserve">Запровадимо обов’язкову професійну накопичувальну пенсійну систему</w:t>
            </w:r>
          </w:p>
        </w:tc>
        <w:tc>
          <w:tcPr>
            <w:vAlign w:val="center"/>
          </w:tcPr>
          <w:p>
            <w:pPr>
              <w:jc w:val="center"/>
            </w:pPr>
            <w:r>
              <w:rPr>
                <w:sz w:val="20"/>
                <w:szCs w:val="20"/>
              </w:rPr>
              <w:t xml:space="preserve">Розроблення законопроекту щодо запровадження накопичувальної професійної пенсійної системи для працівників, які зайняті на виробництвах, роботах, посадах із шкідливими та важкими умовами праці, визначених у списках № 1 та № 2, що затверджуються Кабінетом Міністрів України, та деяких інших професій</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Мінсоцполітики
</w:t>
            </w:r>
          </w:p>
        </w:tc>
      </w:tr>
      <w:tr>
        <w:trPr/>
        <w:tc>
          <w:tcPr>
            <w:vMerge w:val="continue"/>
          </w:tcPr>
          <w:p/>
        </w:tc>
        <w:tc>
          <w:tcPr>
            <w:vMerge w:val="continue"/>
          </w:tcPr>
          <w:p/>
        </w:tc>
        <w:tc>
          <w:tcPr>
            <w:vAlign w:val="center"/>
          </w:tcPr>
          <w:p>
            <w:pPr>
              <w:jc w:val="center"/>
            </w:pPr>
            <w:r>
              <w:rPr>
                <w:sz w:val="20"/>
                <w:szCs w:val="20"/>
              </w:rPr>
              <w:t xml:space="preserve">Створення інформаційного ресурсу щодо  функціонування професійної накопичувальної пенсійної системи на базі веб-сайту Мінсоцполітики</w:t>
            </w:r>
          </w:p>
        </w:tc>
        <w:tc>
          <w:tcPr>
            <w:tcW w:w="1500" w:type="dxa"/>
            <w:vAlign w:val="center"/>
          </w:tcPr>
          <w:p>
            <w:pPr>
              <w:jc w:val="center"/>
            </w:pPr>
            <w:r>
              <w:rPr>
                <w:sz w:val="20"/>
                <w:szCs w:val="20"/>
              </w:rPr>
              <w:t xml:space="preserve">01-07-2020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Мінсоцполітики</w:t>
            </w:r>
          </w:p>
        </w:tc>
      </w:tr>
      <w:tr>
        <w:trPr/>
        <w:tc>
          <w:tcPr>
            <w:vMerge w:val="continue"/>
          </w:tcPr>
          <w:p/>
        </w:tc>
        <w:tc>
          <w:tcPr>
            <w:vAlign w:val="center"/>
            <w:vMerge w:val="restart"/>
          </w:tcPr>
          <w:p>
            <w:pPr>
              <w:jc w:val="center"/>
            </w:pPr>
            <w:r>
              <w:rPr>
                <w:sz w:val="20"/>
                <w:szCs w:val="20"/>
              </w:rPr>
              <w:t xml:space="preserve">Створимо умови для забезпечення збереження пенсійних накопичень (превенція шахрайства з пенсійними накопиченнями)</w:t>
            </w:r>
          </w:p>
        </w:tc>
        <w:tc>
          <w:tcPr>
            <w:vAlign w:val="center"/>
          </w:tcPr>
          <w:p>
            <w:pPr>
              <w:jc w:val="center"/>
            </w:pPr>
            <w:r>
              <w:rPr>
                <w:sz w:val="20"/>
                <w:szCs w:val="20"/>
              </w:rPr>
              <w:t xml:space="preserve">Розроблення законопроекту щодо посилення вимог до установ, які є суб’єктами накопичувальної системи пенсійного забезпечення</w:t>
            </w:r>
          </w:p>
        </w:tc>
        <w:tc>
          <w:tcPr>
            <w:tcW w:w="1500" w:type="dxa"/>
            <w:vAlign w:val="center"/>
          </w:tcPr>
          <w:p>
            <w:pPr>
              <w:jc w:val="center"/>
            </w:pPr>
            <w:r>
              <w:rPr>
                <w:sz w:val="20"/>
                <w:szCs w:val="20"/>
              </w:rPr>
              <w:t xml:space="preserve">01-09-2020</w:t>
            </w:r>
          </w:p>
        </w:tc>
        <w:tc>
          <w:tcPr>
            <w:tcW w:w="1500" w:type="dxa"/>
            <w:vAlign w:val="center"/>
          </w:tcPr>
          <w:p>
            <w:pPr>
              <w:jc w:val="center"/>
            </w:pPr>
            <w:r>
              <w:rPr>
                <w:sz w:val="20"/>
                <w:szCs w:val="20"/>
              </w:rPr>
              <w:t xml:space="preserve">30-06-2021</w:t>
            </w:r>
          </w:p>
        </w:tc>
        <w:tc>
          <w:tcPr>
            <w:vAlign w:val="center"/>
          </w:tcPr>
          <w:p>
            <w:pPr>
              <w:jc w:val="center"/>
            </w:pPr>
            <w:r>
              <w:rPr>
                <w:sz w:val="20"/>
                <w:szCs w:val="20"/>
              </w:rPr>
              <w:t xml:space="preserve">Мінсоцполітики
</w:t>
            </w:r>
          </w:p>
        </w:tc>
      </w:tr>
      <w:tr>
        <w:trPr/>
        <w:tc>
          <w:tcPr>
            <w:vMerge w:val="continue"/>
          </w:tcPr>
          <w:p/>
        </w:tc>
        <w:tc>
          <w:tcPr>
            <w:vAlign w:val="center"/>
            <w:vMerge w:val="restart"/>
          </w:tcPr>
          <w:p>
            <w:pPr>
              <w:jc w:val="center"/>
            </w:pPr>
            <w:r>
              <w:rPr>
                <w:sz w:val="20"/>
                <w:szCs w:val="20"/>
              </w:rPr>
              <w:t xml:space="preserve">Створимо стимули для накопичення коштів на власну старість</w:t>
            </w:r>
          </w:p>
        </w:tc>
        <w:tc>
          <w:tcPr>
            <w:vAlign w:val="center"/>
          </w:tcPr>
          <w:p>
            <w:pPr>
              <w:jc w:val="center"/>
            </w:pPr>
            <w:r>
              <w:rPr>
                <w:sz w:val="20"/>
                <w:szCs w:val="20"/>
              </w:rPr>
              <w:t xml:space="preserve">Розроблення законопроекту щодо автоматичного залучення працівників до участі в накопичувальній системі пенсійного забезпечення, вдосконалення професійної накопичувальної пенсійної системи</w:t>
            </w:r>
          </w:p>
        </w:tc>
        <w:tc>
          <w:tcPr>
            <w:tcW w:w="1500" w:type="dxa"/>
            <w:vAlign w:val="center"/>
          </w:tcPr>
          <w:p>
            <w:pPr>
              <w:jc w:val="center"/>
            </w:pPr>
            <w:r>
              <w:rPr>
                <w:sz w:val="20"/>
                <w:szCs w:val="20"/>
              </w:rPr>
              <w:t xml:space="preserve">01-09-2020</w:t>
            </w:r>
          </w:p>
        </w:tc>
        <w:tc>
          <w:tcPr>
            <w:tcW w:w="1500" w:type="dxa"/>
            <w:vAlign w:val="center"/>
          </w:tcPr>
          <w:p>
            <w:pPr>
              <w:jc w:val="center"/>
            </w:pPr>
            <w:r>
              <w:rPr>
                <w:sz w:val="20"/>
                <w:szCs w:val="20"/>
              </w:rPr>
              <w:t xml:space="preserve">30-06-2021</w:t>
            </w:r>
          </w:p>
        </w:tc>
        <w:tc>
          <w:tcPr>
            <w:vAlign w:val="center"/>
          </w:tcPr>
          <w:p>
            <w:pPr>
              <w:jc w:val="center"/>
            </w:pPr>
            <w:r>
              <w:rPr>
                <w:sz w:val="20"/>
                <w:szCs w:val="20"/>
              </w:rPr>
              <w:t xml:space="preserve">Мінсоцполітики
</w:t>
            </w:r>
          </w:p>
        </w:tc>
      </w:tr>
      <w:tr>
        <w:trPr/>
        <w:tc>
          <w:tcPr>
            <w:vMerge w:val="continue"/>
          </w:tcPr>
          <w:p/>
        </w:tc>
        <w:tc>
          <w:tcPr>
            <w:vMerge w:val="continue"/>
          </w:tcPr>
          <w:p/>
        </w:tc>
        <w:tc>
          <w:tcPr>
            <w:vAlign w:val="center"/>
          </w:tcPr>
          <w:p>
            <w:pPr>
              <w:jc w:val="center"/>
            </w:pPr>
            <w:r>
              <w:rPr>
                <w:sz w:val="20"/>
                <w:szCs w:val="20"/>
              </w:rPr>
              <w:t xml:space="preserve">Проведення інформаційної кампанії (рекламні ролики, залучення публічних людей, публічні заходи, заохочувальні заходи від установ – суб’єктів накопичувальної системи пенсійного забезпечення) з метою заохочення людей до відповідального ставлення до фінансів та їх накопичення на власну старість</w:t>
            </w:r>
          </w:p>
        </w:tc>
        <w:tc>
          <w:tcPr>
            <w:tcW w:w="1500" w:type="dxa"/>
            <w:vAlign w:val="center"/>
          </w:tcPr>
          <w:p>
            <w:pPr>
              <w:jc w:val="center"/>
            </w:pPr>
            <w:r>
              <w:rPr>
                <w:sz w:val="20"/>
                <w:szCs w:val="20"/>
              </w:rPr>
              <w:t xml:space="preserve">01-07-2021</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Мінсоцполітики
</w:t>
            </w:r>
          </w:p>
        </w:tc>
      </w:tr>
      <w:tr>
        <w:trPr/>
        <w:tc>
          <w:tcPr>
            <w:vAlign w:val="center"/>
            <w:vMerge w:val="restart"/>
          </w:tcPr>
          <w:p>
            <w:pPr>
              <w:jc w:val="center"/>
            </w:pPr>
            <w:r>
              <w:rPr>
                <w:sz w:val="20"/>
                <w:szCs w:val="20"/>
              </w:rPr>
              <w:t xml:space="preserve">Забезпечимо розвиток та належне державне регулювання надання соціальних послуг особам похилого віку</w:t>
            </w:r>
          </w:p>
        </w:tc>
        <w:tc>
          <w:tcPr>
            <w:vAlign w:val="center"/>
            <w:vMerge w:val="restart"/>
          </w:tcPr>
          <w:p>
            <w:pPr>
              <w:jc w:val="center"/>
            </w:pPr>
            <w:r>
              <w:rPr>
                <w:sz w:val="20"/>
                <w:szCs w:val="20"/>
              </w:rPr>
              <w:t xml:space="preserve">Збільшимо кількість надавачів соціальних послуг з недержавного сектору</w:t>
            </w:r>
          </w:p>
        </w:tc>
        <w:tc>
          <w:tcPr>
            <w:vAlign w:val="center"/>
          </w:tcPr>
          <w:p>
            <w:pPr>
              <w:jc w:val="center"/>
            </w:pPr>
            <w:r>
              <w:rPr>
                <w:sz w:val="20"/>
                <w:szCs w:val="20"/>
              </w:rPr>
              <w:t xml:space="preserve">Удосконалення нормативно-правової бази щодо можливості закупівлі соціальних послуг у недержавних організацій</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Мінсоцполітики
</w:t>
            </w:r>
          </w:p>
        </w:tc>
      </w:tr>
      <w:tr>
        <w:trPr/>
        <w:tc>
          <w:tcPr>
            <w:vMerge w:val="continue"/>
          </w:tcPr>
          <w:p/>
        </w:tc>
        <w:tc>
          <w:tcPr>
            <w:vMerge w:val="continue"/>
          </w:tcPr>
          <w:p/>
        </w:tc>
        <w:tc>
          <w:tcPr>
            <w:vAlign w:val="center"/>
          </w:tcPr>
          <w:p>
            <w:pPr>
              <w:jc w:val="center"/>
            </w:pPr>
            <w:r>
              <w:rPr>
                <w:sz w:val="20"/>
                <w:szCs w:val="20"/>
              </w:rPr>
              <w:t xml:space="preserve">Стимулювання закупівлі соціальних послуг у недержавному секторі, зокрема шляхом запровадження відповідної бюджетної програми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Мінсоцполітики
</w:t>
            </w:r>
          </w:p>
        </w:tc>
      </w:tr>
      <w:tr>
        <w:trPr/>
        <w:tc>
          <w:tcPr>
            <w:vMerge w:val="continue"/>
          </w:tcPr>
          <w:p/>
        </w:tc>
        <w:tc>
          <w:tcPr>
            <w:vAlign w:val="center"/>
            <w:vMerge w:val="restart"/>
          </w:tcPr>
          <w:p>
            <w:pPr>
              <w:jc w:val="center"/>
            </w:pPr>
            <w:r>
              <w:rPr>
                <w:sz w:val="20"/>
                <w:szCs w:val="20"/>
              </w:rPr>
              <w:t xml:space="preserve">Підвищення якості соціальних послуг для осіб похилого віку</w:t>
            </w:r>
          </w:p>
        </w:tc>
        <w:tc>
          <w:tcPr>
            <w:vAlign w:val="center"/>
          </w:tcPr>
          <w:p>
            <w:pPr>
              <w:jc w:val="center"/>
            </w:pPr>
            <w:r>
              <w:rPr>
                <w:sz w:val="20"/>
                <w:szCs w:val="20"/>
              </w:rPr>
              <w:t xml:space="preserve">Запровадження пілотного проекту щодо державно-приватного партнерства у управління геріатричними пансіонатами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Мінсоцполітики
</w:t>
            </w:r>
          </w:p>
        </w:tc>
      </w:tr>
      <w:tr>
        <w:trPr/>
        <w:tc>
          <w:tcPr>
            <w:vMerge w:val="continue"/>
          </w:tcPr>
          <w:p/>
        </w:tc>
        <w:tc>
          <w:tcPr>
            <w:vMerge w:val="continue"/>
          </w:tcPr>
          <w:p/>
        </w:tc>
        <w:tc>
          <w:tcPr>
            <w:vAlign w:val="center"/>
          </w:tcPr>
          <w:p>
            <w:pPr>
              <w:jc w:val="center"/>
            </w:pPr>
            <w:r>
              <w:rPr>
                <w:sz w:val="20"/>
                <w:szCs w:val="20"/>
              </w:rPr>
              <w:t xml:space="preserve">Законодавче врегулювання підвищення кваліфікації персоналу надавачів соціальних послуг, що працюють з особами похилого віку</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Мінсоцполітики
</w:t>
            </w:r>
          </w:p>
        </w:tc>
      </w:tr>
      <w:tr>
        <w:trPr/>
        <w:tc>
          <w:tcPr>
            <w:vMerge w:val="continue"/>
          </w:tcPr>
          <w:p/>
        </w:tc>
        <w:tc>
          <w:tcPr>
            <w:vMerge w:val="continue"/>
          </w:tcPr>
          <w:p/>
        </w:tc>
        <w:tc>
          <w:tcPr>
            <w:vAlign w:val="center"/>
          </w:tcPr>
          <w:p>
            <w:pPr>
              <w:jc w:val="center"/>
            </w:pPr>
            <w:r>
              <w:rPr>
                <w:sz w:val="20"/>
                <w:szCs w:val="20"/>
              </w:rPr>
              <w:t xml:space="preserve">Підвищення вимог до надавачів послуг стаціонарного догляду</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31-03-2020</w:t>
            </w:r>
          </w:p>
        </w:tc>
        <w:tc>
          <w:tcPr>
            <w:vAlign w:val="center"/>
          </w:tcPr>
          <w:p>
            <w:pPr>
              <w:jc w:val="center"/>
            </w:pPr>
            <w:r>
              <w:rPr>
                <w:sz w:val="20"/>
                <w:szCs w:val="20"/>
              </w:rPr>
              <w:t xml:space="preserve">Мінсоцполітики
</w:t>
            </w:r>
          </w:p>
        </w:tc>
      </w:tr>
    </w:tbl>
    <w:sectPr>
      <w:pgSz w:orient="landscape" w:w="16837.795275591" w:h="11905.511811024"/>
      <w:pgMar w:top="700" w:right="700" w:bottom="700" w:left="7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47DFA708"/>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Colspan Rowspan">
    <w:name w:val="Colspan Rowspan"/>
    <w:uiPriority w:val="99"/>
    <w:tblPr>
      <w:tblW w:w="0" w:type="auto"/>
      <w:tblLayout w:type="autofit"/>
      <w:tblBorders>
        <w:top w:val="single" w:sz="6" w:color="999999"/>
        <w:left w:val="single" w:sz="6" w:color="999999"/>
        <w:right w:val="single" w:sz="6" w:color="999999"/>
        <w:bottom w:val="single" w:sz="6" w:color="999999"/>
        <w:insideH w:val="single" w:sz="6" w:color="999999"/>
        <w:insideV w:val="single" w:sz="6"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2020-02-10T10:29:25+02:00</dcterms:created>
  <dcterms:modified xsi:type="dcterms:W3CDTF">2020-02-10T10:29:25+02:00</dcterms:modified>
</cp:coreProperties>
</file>

<file path=docProps/custom.xml><?xml version="1.0" encoding="utf-8"?>
<Properties xmlns="http://schemas.openxmlformats.org/officeDocument/2006/custom-properties" xmlns:vt="http://schemas.openxmlformats.org/officeDocument/2006/docPropsVTypes"/>
</file>