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«4.1. Українці відчувають свою приналежність до єдиного українського культурного простору»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Переважна більшість українців мають слабко розвинену навичку самоідентифікації, а дефіцит критичного переосмислення  минулого на принципах включеності та діалогічності як спільного досвіду, стримує формування сильної сучасної української політичної нації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В Україні понад ¾ громадян жодного разу не виїздило за межі країни, майже 50% населення, переважно старшого віку, ніколи не покидали свого району за останні 15-20 років</w:t>
      </w:r>
      <w:hyperlink w:anchor="_ftn1" w:history="1">
        <w:r>
          <w:rPr/>
          <w:t xml:space="preserve">[1]</w:t>
        </w:r>
      </w:hyperlink>
      <w:r>
        <w:rPr/>
        <w:t xml:space="preserve">, 60% молоді не пов’язують себе з Україною в майбутньому; лише трохи більше 2% громадян є чи були членами громадських організацій</w:t>
      </w:r>
      <w:hyperlink w:anchor="_ftn2" w:history="1">
        <w:r>
          <w:rPr/>
          <w:t xml:space="preserve">[2]</w:t>
        </w:r>
      </w:hyperlink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0" w:history="1">
        <w:r>
          <w:rPr/>
          <w:t xml:space="preserve">https://www.idss.org.ua/arhiv/Ukraine_migration.pdf</w:t>
        </w:r>
      </w:hyperlink>
      <w:r>
        <w:rPr/>
        <w:t xml:space="preserve"> - С.29</w:t>
      </w:r>
    </w:p>
    <w:p>
      <w:pPr/>
      <w:hyperlink w:anchor="_ftnref2" w:history="1">
        <w:r>
          <w:rPr/>
          <w:t xml:space="preserve">[2]</w:t>
        </w:r>
      </w:hyperlink>
      <w:r>
        <w:rPr/>
        <w:t xml:space="preserve"> </w:t>
      </w:r>
      <w:hyperlink r:id="rId12" w:history="1">
        <w:r>
          <w:rPr/>
          <w:t xml:space="preserve">https://ms.detector.media/mediaprosvita/research/lishe_11_ukraintsiv_zmogli_vidrizniti_feyki_doslidzhennya/</w:t>
        </w:r>
      </w:hyperlink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Проблема є гострою, оскільки слабка ідентичність українців обумовлює їх пасивно-реактивний спосіб життя - частка населення, яке взагалі не ідентифікує себе як членів громадянського суспільства (не належали до жодної громадської організації чи об’єднань) залишається стабільно вище 80%</w:t>
      </w:r>
      <w:hyperlink w:anchor="_ftn1" w:history="1">
        <w:r>
          <w:rPr/>
          <w:t xml:space="preserve">[1]</w:t>
        </w:r>
      </w:hyperlink>
      <w:r>
        <w:rPr/>
        <w:t xml:space="preserve">, а цінності виживання в українців вже тривалий час істотно переважають над цінностями самовираження</w:t>
      </w:r>
      <w:hyperlink w:anchor="_ftn2" w:history="1">
        <w:r>
          <w:rPr/>
          <w:t xml:space="preserve">[2]</w:t>
        </w:r>
      </w:hyperlink>
      <w:r>
        <w:rPr/>
        <w:t xml:space="preserve">. Це стримує більшість населення від використання існуючих можливостей, які виникають внаслідок глобальних трендів та змін в суспільстві в цілому, робить їх менш продуктивними та не конкурентоспроможними. Як зазначає С.Гантінгтон, Україна відноситься до «розколотих» цивілізацій регіонального чи локального рівня, оскільки вона перебуває на перехресті трьох великих і потужних цивілізаційних просторів – західноєвропейського, євразійського, ісламського, через що в українському суспільстві очевидні розходження й навіть протистояння щодо відповідних цивілізаційних орієнтацій</w:t>
      </w:r>
      <w:hyperlink w:anchor="_ftn3" w:history="1">
        <w:r>
          <w:rPr/>
          <w:t xml:space="preserve">[3]</w:t>
        </w:r>
      </w:hyperlink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4" w:history="1">
        <w:r>
          <w:rPr/>
          <w:t xml:space="preserve">http://i-soc.com.ua/assets/files/monitoring/dodatki2016.pdf</w:t>
        </w:r>
      </w:hyperlink>
    </w:p>
    <w:p>
      <w:pPr/>
      <w:hyperlink w:anchor="_ftnref2" w:history="1">
        <w:r>
          <w:rPr/>
          <w:t xml:space="preserve">[2]</w:t>
        </w:r>
      </w:hyperlink>
      <w:r>
        <w:rPr/>
        <w:t xml:space="preserve"> </w:t>
      </w:r>
      <w:hyperlink r:id="rId15" w:history="1">
        <w:r>
          <w:rPr/>
          <w:t xml:space="preserve">http://www.worldvaluessurvey.org/images/Culture_Map_2017_conclusive.png</w:t>
        </w:r>
      </w:hyperlink>
    </w:p>
    <w:p>
      <w:pPr/>
      <w:hyperlink w:anchor="_ftnref3" w:history="1">
        <w:r>
          <w:rPr/>
          <w:t xml:space="preserve">[3]</w:t>
        </w:r>
      </w:hyperlink>
      <w:r>
        <w:rPr/>
        <w:t xml:space="preserve"> </w:t>
      </w:r>
      <w:hyperlink r:id="rId17" w:history="1">
        <w:r>
          <w:rPr/>
          <w:t xml:space="preserve">http://nbuviap.gov.ua/images/nauk-mon/Cuvilizaciynuy_vubir_Ukrainu.pdf</w:t>
        </w:r>
      </w:hyperlink>
      <w:r>
        <w:rPr/>
        <w:t xml:space="preserve"> – С.11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Через збройну агресію з боку РФ поступово зростає рівень самоідентифікації населення, відновлюється підтримка вибору цінностей західної цивілізації, зростає частка населення, яке займається волонтерством та благодійністю. Разом з тим, завдяки візовій лібералізації спостерігається надзвичайно висока трудова еміграція, що загрожує в середньостроковій перспективі ринку праці та національній конкурентоспроможності. Крім того, через ефект «відтоку мізків» (brain drain) Україна лишається в зоні аутсайдерів в сфері інновацій та економічних свобод, що робить її малопривабливою для інвестицій та мігрантів з високим та середнім рівнями доходів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Підсвідоме (інтуїтивне) фокусування на (само)збереженні та (само)захисті як окремого індивіда, замість пізнання та розвитку креативності як члена спільноти</w:t>
      </w:r>
    </w:p>
    <w:p>
      <w:pPr/>
      <w:r>
        <w:rPr/>
        <w:t xml:space="preserve">Причина 2 - Відсутність спільної розробленої та проговореної візії розвитку України та її минулого</w:t>
      </w:r>
    </w:p>
    <w:p>
      <w:pPr/>
      <w:r>
        <w:rPr/>
        <w:t xml:space="preserve">Причина 3 - Недостатність якісного суспільно значущого контенту, що сприяє відчуттю громадянами своєї приналежності до України, розумінню та усвідомленню візії України, сприяє тому, що громадяни поділяють візію України</w:t>
      </w:r>
    </w:p>
    <w:p>
      <w:pPr/>
      <w:r>
        <w:rPr/>
        <w:t xml:space="preserve">Причина 4 - Обмежена спроможність закладів культури ініціювати діалог та бути культурними медіаторами щодо національно значущих питань, пов’язаних з ідентичністю, творенням спільного блага, поширенням загальнолюдських цінностей, зміною ставлення суспільства до чутливих історичних подій та постатей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Більшість громадян розуміють, усвідомлюють та поділяють візію України (роль і місце України в світі, роль та відповідальність держави, роль та відповідальність громадян перед собою, перед іншими громадянами, перед державою, перед світом)</w:t>
      </w:r>
    </w:p>
    <w:p>
      <w:pPr>
        <w:numPr>
          <w:ilvl w:val="0"/>
          <w:numId w:val="1"/>
        </w:numPr>
      </w:pPr>
      <w:r>
        <w:rPr/>
        <w:t xml:space="preserve">Індекс ідентичності: відчуття громадянами своєї приналежності до України із збереженням етнічного, релігійного та культурного різноманіття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Вказана ціль не була пріоритетом державної політики у визначеній сфері. Загальнонаціональні наративи виникали спонтанно та формувалися під впливом політичної візії керівництва держави в різні періоди. Каталізатором переосмислення українцями ставлення до єдиного українського культурного простору стала Революція Гідності у 2014 році та українсько-російська війна. Протягом останніх 5 років розпочато низку заходів та декілька масштабних проектів, що потребують їх повної реалізації. Зокрема, будівництво Меморіального комплексу Героїв Небесної Сотні, Музею Революції Гідності, Музею Голодомору. У 2019 році Урядом схвалено Стратегію популяризації української мови до 2030 року «Сильна мова – успішна держава», розроблено проект Концепції Державної цільової національно-культурної програми забезпечення всебічного розвитку і функціонування української мови як державної в усіх сферах суспільного життя на період до 2028 року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“Більшість громадян розуміють, усвідомлюють та поділяють візію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Стійке зростання частки населення, яке усвідомлює та поділяє візію України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Розробка, представлення та подання до Верховної Ради України гуманітарної стратегії розвитку України</w:t>
      </w:r>
    </w:p>
    <w:p>
      <w:pPr>
        <w:numPr>
          <w:ilvl w:val="0"/>
          <w:numId w:val="1"/>
        </w:numPr>
      </w:pPr>
      <w:r>
        <w:rPr/>
        <w:t xml:space="preserve">Розробка Комунікаційної стратегії та Плану заходів щодо реалізації Гуманітарної стратегії розвитку України</w:t>
      </w:r>
    </w:p>
    <w:p>
      <w:pPr>
        <w:numPr>
          <w:ilvl w:val="0"/>
          <w:numId w:val="1"/>
        </w:numPr>
      </w:pPr>
      <w:r>
        <w:rPr/>
        <w:t xml:space="preserve">Створення та будівництво Музею сучасного мистецтва</w:t>
      </w:r>
    </w:p>
    <w:p>
      <w:pPr>
        <w:numPr>
          <w:ilvl w:val="0"/>
          <w:numId w:val="1"/>
        </w:numPr>
      </w:pPr>
      <w:r>
        <w:rPr/>
        <w:t xml:space="preserve">Завершення проектів Музею та Меморіалу Небесної сотні</w:t>
      </w:r>
    </w:p>
    <w:p>
      <w:pPr>
        <w:numPr>
          <w:ilvl w:val="0"/>
          <w:numId w:val="1"/>
        </w:numPr>
      </w:pPr>
      <w:r>
        <w:rPr/>
        <w:t xml:space="preserve">Завершення реконструкції першої черги Меморіального комплексу пам’яті жертв Голодомору в Україні з будівництвом другої черги Національного музею-меморіалу жертв Голодомору</w:t>
      </w:r>
    </w:p>
    <w:p>
      <w:pPr/>
      <w:r>
        <w:rPr>
          <w:b w:val="1"/>
          <w:bCs w:val="1"/>
        </w:rPr>
        <w:t xml:space="preserve">2.2. Підціль 2 “Стійке зростання індексу ідентичності: відчуття громадянами своєї приналежності до України із збереженням етнічного, релігійного та культурного різноманіття”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Стійке зростання частки населення, які ідентифікують себе українцями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Проведення регулярних моніторингових соціологічних опитувань та досліджень ідентичності</w:t>
      </w:r>
    </w:p>
    <w:p>
      <w:pPr>
        <w:numPr>
          <w:ilvl w:val="0"/>
          <w:numId w:val="1"/>
        </w:numPr>
      </w:pPr>
      <w:r>
        <w:rPr/>
        <w:t xml:space="preserve">Розробка моделі та затвердження показників вимірювання індексу ідентичності</w:t>
      </w:r>
    </w:p>
    <w:p>
      <w:pPr>
        <w:numPr>
          <w:ilvl w:val="0"/>
          <w:numId w:val="1"/>
        </w:numPr>
      </w:pPr>
      <w:r>
        <w:rPr/>
        <w:t xml:space="preserve">Популяризація української мови на всій території України в усіх сферах суспільного життя</w:t>
      </w:r>
    </w:p>
    <w:p>
      <w:pPr>
        <w:numPr>
          <w:ilvl w:val="0"/>
          <w:numId w:val="1"/>
        </w:numPr>
      </w:pPr>
      <w:r>
        <w:rPr/>
        <w:t xml:space="preserve">Посилення захисту культурних цінностей та культурної спадщини</w:t>
      </w:r>
    </w:p>
    <w:p>
      <w:pPr>
        <w:numPr>
          <w:ilvl w:val="0"/>
          <w:numId w:val="1"/>
        </w:numPr>
      </w:pPr>
      <w:r>
        <w:rPr/>
        <w:t xml:space="preserve">Відновлення ефективної системи управління охороною культурної спадщини на усіх рівнях</w:t>
      </w:r>
    </w:p>
    <w:p>
      <w:pPr>
        <w:numPr>
          <w:ilvl w:val="0"/>
          <w:numId w:val="1"/>
        </w:numPr>
      </w:pPr>
      <w:r>
        <w:rPr/>
        <w:t xml:space="preserve">Формування національної інфраструктури даних в сфері охорони культурної спадщини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Більшість громадян розуміють, усвідомлюють та поділяють візію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Розробка, представлення та подання до Верховної Ради України гуманітарної стратегії розвитку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до Верховної Ради України законопроекту "Про стратегію гуманітарного розвитку України"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Комунікаційної стратегії та Плану заходів щодо реалізації Гуманітарної стратегії розвитку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Комунікаційної стратегії щодо реалізації стратегії гуманітарного розвитку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Плану заходів щодо реалізації стратегії гуманітарного розвитку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МЗС, МОЗ, МОН, Мінсоцполітики, Мінрегіон, органи місцевого самоврядування (за згодою),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Плану заходів з виконання стратегії гуманітарного розвитку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МЗС, МОЗ, МОН, Мінсоцполітики, Мінрегіон,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та будівництво Музею сучасного мистецтва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Концепції створення Музею сучасного мистецтва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проекту будівництва Музею сучасного мистецтва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проекту землеустрою щодо відведення земельної ділянки для будівництва Музею сучасного мистецтва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проекту будівництва Музею сучасного мистецтва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Завершення проектів Музею та Меморіалу Небесної сотні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у повному обсязі фінансування проектів Музею та Меморіалу Небесної сотні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Завершення реконструкції першої черги Меморіального комплексу пам’яті жертв Голодомору в Україні з будівництвом другої черги Національного музею-меморіалу жертв Голодомору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у повному обсязі реконструкції першої черги Меморіального комплексу пам'яті жертв Голодомору в Україні з будівництвом другої черги Національного музею-меморіалу жертв Голодомору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Стійке зростання індексу ідентичності: відчуття громадянами своєї приналежності до України із збереженням етнічного, релігійного та культурного різноманіття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регулярних моніторингових соціологічних опитувань та досліджень ідентичності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пілотного дослідження ідентичності українця та образу України в світі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моніторингових соціологічних досліджень культурних профілів регіонів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моделі та затвердження показників вимірювання індексу ідентичності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методології розрахунку індексу ідентичності та його тестування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пілотного дослідження з вимірювання індексу ідентичності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Популяризація української мови на всій території України в усіх сферах суспільного життя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застосування української мови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та реалізація заходів з формування цілісного україномовного інформаційно-культурного простору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Посилення захисту культурних цінностей та культурної спадщини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до Верховної Ради України законопроекту "Про ратифікацію Другого протоколу до Гаазької конвенції про захист культурних цінностей у разі збройного конфлікту 1954 року"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Посилення відповідальності за руйнування пам'яток та порушення законодавства України про охорону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внесення на розгляд до Верховної Ради України законопроекту "Про повернення культурних цінностей"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і навчання спеціалізованого персоналу для координації та ведення оперативної роботи з реалізації державної політики захисту та повернення втраченої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Подання заявки щодо включення культурних цінностей України до Міжнародного реєстру культурних цінностей, що потребують спеціального захисту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системного наукового супроводу процесів пошуку та повернення культурних цінностей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інформаційної системи з базами даних втрачених культурних цінностей України, повернення культурних цінностей України, переміщення культурних цінностей України LOST ART UKRAINE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Мінцифра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 межах компетенції подання позові до Російської Федерації щодо відшкодування шкоди за незаконне пошкодження, знищення, руйнування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інституту іноземних радників з питань захисту та повернення втраченої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Відновлення ефективної системи управління охороною культурної спадщини на усіх рівнях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Чітке розмежування повноважень в сфері охорони культурної спадщини, визначених в Законах України "Про місцеві державні адміністрації" та "Про місцеве самоврядування в Україні"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Діджиталізація процесів надання адміністративних послуг в сфері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МКМС, Міністерство юстиції України, Мінцифра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національної інфраструктури даних в сфері охорони культурної спадщини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Матеріально-технічне забезпечення моніторингу охорони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циклу проектів з діджиталізації об'єктів нерухомої культурної спадщини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39308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2" TargetMode="External"/><Relationship Id="rId9" Type="http://schemas.openxmlformats.org/officeDocument/2006/relationships/hyperlink" Target="_ftnref1" TargetMode="External"/><Relationship Id="rId10" Type="http://schemas.openxmlformats.org/officeDocument/2006/relationships/hyperlink" Target="https://www.idss.org.ua/arhiv/Ukraine_migration.pdf" TargetMode="External"/><Relationship Id="rId11" Type="http://schemas.openxmlformats.org/officeDocument/2006/relationships/hyperlink" Target="_ftnref2" TargetMode="External"/><Relationship Id="rId12" Type="http://schemas.openxmlformats.org/officeDocument/2006/relationships/hyperlink" Target="https://ms.detector.media/mediaprosvita/research/lishe_11_ukraintsiv_zmogli_vidrizniti_feyki_doslidzhennya/" TargetMode="External"/><Relationship Id="rId13" Type="http://schemas.openxmlformats.org/officeDocument/2006/relationships/hyperlink" Target="_ftn3" TargetMode="External"/><Relationship Id="rId14" Type="http://schemas.openxmlformats.org/officeDocument/2006/relationships/hyperlink" Target="http://i-soc.com.ua/assets/files/monitoring/dodatki2016.pdf" TargetMode="External"/><Relationship Id="rId15" Type="http://schemas.openxmlformats.org/officeDocument/2006/relationships/hyperlink" Target="http://www.worldvaluessurvey.org/images/Culture_Map_2017_conclusive.png" TargetMode="External"/><Relationship Id="rId16" Type="http://schemas.openxmlformats.org/officeDocument/2006/relationships/hyperlink" Target="_ftnref3" TargetMode="External"/><Relationship Id="rId17" Type="http://schemas.openxmlformats.org/officeDocument/2006/relationships/hyperlink" Target="http://nbuviap.gov.ua/images/nauk-mon/Cuvilizaciynuy_vubir_Ukrain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2020-02-10T10:29:28+02:00</dcterms:created>
  <dcterms:modified xsi:type="dcterms:W3CDTF">2020-02-10T10:29:28+02:00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