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4.3. «Українці (особливо молодь) мають можливість брати активну участь у суспільному житті»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Населення України (особливо молодь) мають низьку залученість до суспільного життя, що позбавляє можливості адвокатувати та відстоювати власні інтереси та, в кінцевому результаті, погіршує якість життя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Активні громадяни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Загальнонаціональна: рівень залученості населення до активної громадської діяльності складає 7,5% (дослідження Київського міжнародного інституту соціології, 2019 р.)</w:t>
      </w:r>
    </w:p>
    <w:p>
      <w:pPr/>
      <w:r>
        <w:rPr>
          <w:b w:val="1"/>
          <w:bCs w:val="1"/>
        </w:rPr>
        <w:t xml:space="preserve">1.4. Гострота проблеми: Негостра</w:t>
      </w:r>
    </w:p>
    <w:p>
      <w:pPr/>
      <w:r>
        <w:rPr/>
        <w:t xml:space="preserve">Низький рівень залученості населення до суспільного життя впливає на можливість активної частини суспільства змінювати якість життя, суспільних послуг і просторів та центрів (слабка підтримка ініціатив активних громадян не дозволяє впроваджувати якісні зміни)</w:t>
      </w:r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/>
        <w:t xml:space="preserve">Після значного зростання у 2014-2016 році, спостерігалося зниження активності/залученості громадян до теперішнього рівня; за умов збереження статусу-кво очікується збереження поточного рівня в наступні 1-3 роки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Низький рівень довіри людей до суспільних ініціатив і громадянського суспільства</w:t>
      </w:r>
    </w:p>
    <w:p>
      <w:pPr/>
      <w:r>
        <w:rPr/>
        <w:t xml:space="preserve">Причина 2 - Низький рівень мобільності населення в тому числі молоді: 40% людей ніколи не виїжджали за межі своєї області (з негативною динамікою в русі на схід); 55% молоді за останні 3 роки не виїжджало за межі області</w:t>
      </w:r>
    </w:p>
    <w:p>
      <w:pPr/>
      <w:r>
        <w:rPr/>
        <w:t xml:space="preserve">Причина 3 - Слабкий розвиток інфраструктури громадянського суспільства (в тому числі, молодіжної): відсутність потужних національних організацій, здатних залучати значну кількість людей; недостатня кількість фахівців, спроможних допомагати соціалізації і активізації молоді; відсутність розвинутої інфраструктури, суспільних (в тому числі, молодіжних) просторів та центрів</w:t>
      </w:r>
    </w:p>
    <w:p>
      <w:pPr/>
      <w:r>
        <w:rPr/>
        <w:t xml:space="preserve">Причина 4 - Патерналістські цінності, збережені з часів тоталітарного режиму, які передбачають низьке почуття власної відповідальності за життя і розвиток суспільства (джерело Global Values Survey)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Збільшення вдвічі частки населення, яке бере участь в суспільному житті (до 12% – дорослого населення, до 25% – молоді)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Реалізується Державна цільова соціальна програма «Молодь України» на 2016 – 2020 роки (постанова Кабінету Міністрів України від 18.02.2016 № 148) та інші нормативно-правові акти в молодіжній сфері. Функціонують державна установа «Всеукраїнський молодіжний центр» та Державний інститут сімейної та молодіжної політики. Започатковано численні програми і проєкти для самореалізації та сталого розвитку молоді, у тому числі «Пакт заради молоді – 2020», «Молодіжний працівник», «Державотворець», «GOxChange», «Молодіжна столиця України», здійснюється фінансова підтримка молодіжних та дитячих громадських організацій, молоді присуджуються премії за особливі досягнення в молодіжній сфері тощо.</w:t>
      </w:r>
    </w:p>
    <w:p>
      <w:pPr/>
      <w:r>
        <w:rPr/>
        <w:t xml:space="preserve">Міжнародні зобов’язання щодо підвищення рівня участі молоді у суспільному житті полягають у виконанні: статті 434 глави 23 «Освіта, навчання та молодь» Угоди про асоціацію між Україною та ЄС; Рамкової програми співробітництва між Міністерством молоді та спорту України та Радою Європи у сфері молодіжної політики на 2016 – 2020 роки; міжнародних договорів міжурядового та міжвідомчого характеру (у тому числі міжурядових угод про українсько-польські та українсько-литовські молодіжні обміни); Меморандуму про співробітництво у молодіжній сфері між Міністерствами країн Вишеградської групи, відповідальними за реалізацію державної політики у молодіжній сфері, та Міністерствами країн-учасниць ініціативи ЄС «Східне партнерство», відповідальними за реалізацію державної політики у молодіжній сфері.</w:t>
      </w:r>
    </w:p>
    <w:p>
      <w:pPr/>
      <w:r>
        <w:rPr/>
        <w:t xml:space="preserve">Розроблено проєкт Стратегії розвитку молодіжної політики до 2030 року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“Забезпечення спроможності організацій громадянського суспільства”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Залученість населення (в тому числі, молоді) до участі в організаціях громадянського суспільства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Запуск інституційної підтримки організацій громадянського суспільства</w:t>
      </w:r>
    </w:p>
    <w:p>
      <w:pPr>
        <w:numPr>
          <w:ilvl w:val="0"/>
          <w:numId w:val="1"/>
        </w:numPr>
      </w:pPr>
      <w:r>
        <w:rPr/>
        <w:t xml:space="preserve">Надання фінансової підтримки для розвитку соціальної активності молоді</w:t>
      </w:r>
    </w:p>
    <w:p>
      <w:pPr>
        <w:numPr>
          <w:ilvl w:val="0"/>
          <w:numId w:val="1"/>
        </w:numPr>
      </w:pPr>
      <w:r>
        <w:rPr/>
        <w:t xml:space="preserve">Залучення організацій громадянського суспільства до кроссекторальних проектів – пріоритизація проєктів, в які залучені держава і організації громадянського суспільства</w:t>
      </w:r>
    </w:p>
    <w:p>
      <w:pPr>
        <w:numPr>
          <w:ilvl w:val="0"/>
          <w:numId w:val="1"/>
        </w:numPr>
      </w:pPr>
      <w:r>
        <w:rPr/>
        <w:t xml:space="preserve">Розвиток співрегулювання та саморегулювання – включення організвацій громадянського супсльства (в тому числі об’єднань гравців за сферами) до прийняття рішень державою</w:t>
      </w:r>
    </w:p>
    <w:p>
      <w:pPr/>
      <w:r>
        <w:rPr>
          <w:b w:val="1"/>
          <w:bCs w:val="1"/>
        </w:rPr>
        <w:t xml:space="preserve">2.2. Підціль 2 “Підвищення мобільності та культурної і соціальної інтегрованості молоді”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Відсоток населення (особливо молоді), що виїжджали за межі області за останні 3 роки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Запуск національної програми мобільності молоді – залучення молоді всіх регіонів (до 100000 учасників в перший рік) до програми обмінів, що має на меті заохотити і дати інструменти для активної участі в суспільному житі; ідентифікувати себе українцями – членами єдиного суспільства, поважаючи різноманіття; розвинути спроможність регіональних організацій громадянського суспільства</w:t>
      </w:r>
    </w:p>
    <w:p>
      <w:pPr>
        <w:numPr>
          <w:ilvl w:val="0"/>
          <w:numId w:val="1"/>
        </w:numPr>
      </w:pPr>
      <w:r>
        <w:rPr/>
        <w:t xml:space="preserve">Підвищення самостійності, життєстійкості та спроможності молоді</w:t>
      </w:r>
    </w:p>
    <w:p>
      <w:pPr>
        <w:numPr>
          <w:ilvl w:val="0"/>
          <w:numId w:val="1"/>
        </w:numPr>
      </w:pPr>
      <w:r>
        <w:rPr/>
        <w:t xml:space="preserve">Налагодження міжнародного молодіжного співробітництва та активізація участі молоді у суспільно-політичному житті</w:t>
      </w:r>
    </w:p>
    <w:p>
      <w:pPr>
        <w:numPr>
          <w:ilvl w:val="0"/>
          <w:numId w:val="1"/>
        </w:numPr>
      </w:pPr>
      <w:r>
        <w:rPr/>
        <w:t xml:space="preserve">Налагодження міжрегіональної взаємодії у сфері національно-патріотичного виховання з метою утвердження єдиної національної системи цінностей</w:t>
      </w:r>
    </w:p>
    <w:p>
      <w:pPr>
        <w:numPr>
          <w:ilvl w:val="0"/>
          <w:numId w:val="1"/>
        </w:numPr>
      </w:pPr>
      <w:r>
        <w:rPr/>
        <w:t xml:space="preserve">Впровадження KPI залучення молодої аудиторії для закладів культури</w:t>
      </w:r>
    </w:p>
    <w:p>
      <w:pPr/>
      <w:r>
        <w:rPr>
          <w:b w:val="1"/>
          <w:bCs w:val="1"/>
        </w:rPr>
        <w:t xml:space="preserve">2.3. Підціль 3 “Розвиток і підвищення прозорості секторів волонтерства і благодійності”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Відсоток населення, що бере участь у волонтерстві та благодійності за секторами (допомога військовим, охорона здоров’я, соціальна сфера, тощо)</w:t>
      </w:r>
    </w:p>
    <w:p>
      <w:pPr>
        <w:numPr>
          <w:ilvl w:val="0"/>
          <w:numId w:val="1"/>
        </w:numPr>
      </w:pPr>
      <w:r>
        <w:rPr/>
        <w:t xml:space="preserve">Відсоток населення, що довіряє благодійним та волонтерським організаціям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Стимулювання прозорості і звітування благодійних і волонтерських організацій – фіскальне та інше стимулювання доступне виключно для прозорих організацій, які розкривають звітність</w:t>
      </w:r>
    </w:p>
    <w:p>
      <w:pPr>
        <w:numPr>
          <w:ilvl w:val="0"/>
          <w:numId w:val="1"/>
        </w:numPr>
      </w:pPr>
      <w:r>
        <w:rPr/>
        <w:t xml:space="preserve">Впровадження участі у волонтерстві або благодійності як додаткового елементу оцінювання при вступі до ВНЗ (додаткові бали до ЗНО за участь у надійних благодійних чи волонтерських організаціях)</w:t>
      </w:r>
    </w:p>
    <w:p>
      <w:pPr>
        <w:numPr>
          <w:ilvl w:val="0"/>
          <w:numId w:val="1"/>
        </w:numPr>
      </w:pPr>
      <w:r>
        <w:rPr/>
        <w:t xml:space="preserve">Запровадження індивідуальної фіскальної підтримки громадянами благодійних, волотнтерських та громадських організацій</w:t>
      </w:r>
    </w:p>
    <w:p>
      <w:pPr/>
      <w:r>
        <w:rPr>
          <w:b w:val="1"/>
          <w:bCs w:val="1"/>
        </w:rPr>
        <w:t xml:space="preserve">2.4. Підціль 4 “Розвиток інфраструктури залучення населення (особливо молоді): фахівці, що здатні працювати із молоддю, простори та центри для соціалізації”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об’єктів суспільної інфраструктури (спільні простори та центри, доступні до використання різними соціальними групами громади, за прикладом community engagement centers) на 100000 населення</w:t>
      </w:r>
    </w:p>
    <w:p>
      <w:pPr>
        <w:numPr>
          <w:ilvl w:val="0"/>
          <w:numId w:val="1"/>
        </w:numPr>
      </w:pPr>
      <w:r>
        <w:rPr/>
        <w:t xml:space="preserve">Кількість фахівців, що працюють із молоддю на 100000 молоді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Введення суспільних (в тому числі, молодіжних) просторів та центрів в стандарти планування територій і забудови</w:t>
      </w:r>
    </w:p>
    <w:p>
      <w:pPr>
        <w:numPr>
          <w:ilvl w:val="0"/>
          <w:numId w:val="1"/>
        </w:numPr>
      </w:pPr>
      <w:r>
        <w:rPr/>
        <w:t xml:space="preserve">Впровадження стандартів якості діяльності суспільних (у тому числі молодіжних) просторів та центрів</w:t>
      </w:r>
    </w:p>
    <w:p>
      <w:pPr>
        <w:numPr>
          <w:ilvl w:val="0"/>
          <w:numId w:val="1"/>
        </w:numPr>
      </w:pPr>
      <w:r>
        <w:rPr/>
        <w:t xml:space="preserve">Розвиток програми підготовки молодіжних працівників та здійснення підготовки фахівців, що працюють із молоддю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спроможності організацій громадянського суспільства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інституційної підтримки організацій громадянського суспільства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законодавчих механізмів інституційної підтримки організацій громадянського суспільства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системи вимірювання результатів і контролю ефективності організацій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конкурсу на інституційну підтримку організацій громадянського суспільства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Надання фінансової підтримки для розвитку соціальної активності молоді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Удосконалення існуючої системи визначення пріоритетів та критеріїв відбору програм, проєктів, заходів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системи вимірювання результатів і контролю ефективності виконання (реалізації) проєктів, програм, заходів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конкурсу та надання фінансової підтримки молодіжним та дитячим громадським організаціям для реалізації їх проєктів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конкурсу та надання фінансової підтримки громадським об'єднанням на виконання заходів щодо національно-патріотичного виховання для реалізації їх проєктів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Залучення організацій громадянського суспільства до кроссекторальних проектів – пріоритизація проєктів, в які залучені держава і організації громадянського суспільства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нормативного забезпечення включення додаткового KPI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системи вимірювання результатів і контролю ефективності проєктів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нових правил і принципів підтримки проєктів установами і закладами культури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Розвиток співрегулювання та саморегулювання – включення організвацій громадянського супсльства (в тому числі об’єднань гравців за сферами) до прийняття рішень державою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функцій, етапності і плану впровадження саморегулювання і співрегулювання за сферами політик, в тому числі визначення пілотних сфер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нормативного забезпечення для впровадження саморегулювання або співрегулювання у визначених сферах політик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в нормативно-правові акти для запуску співрегулювання і саморегулювання у визначених сферах політик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саморегулівних організацій у визначених сферах політик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Підвищення мобільності та культурної і соціальної інтегрованості молоді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національної програми мобільності молоді – залучення молоді всіх регіонів (до 100000 учасників в перший рік) до програми обмінів, що має на меті заохотити і дати інструменти для активної участі в суспільному житі; ідентифікувати себе українцями – членами єдиного суспільства, поважаючи різноманіття; розвинути спроможність регіональних організацій громадянського суспільства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нормативно-правової бази, концепції та методології реалізації програми мобільності молоді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пілотних обмінів молоддю між кількома регіонами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інші центральні органи виконавчої влади;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обмінів молоддю між різними регіонами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МОН; інші центральні органи виконавчої влади;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Підвищення самостійності, життєстійкості та спроможності молоді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проєктів та проведення заходів, спрямованих на розвиток компетенцій молоді і визначення нею свідомого вибору життєвого шляху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Налагодження міжнародного молодіжного співробітництва та активізація участі молоді у суспільно-політичному житті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міжнародних молодіжних обмінів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Налагодження міжрегіональної взаємодії у сфері національно-патріотичного виховання з метою утвердження єдиної національної системи цінностей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заходів національно-патріотичного виховання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KPI залучення молодої аудиторії для закладів культури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Зміна нормативних актів для зміни принципу фінансування закладів культури, які включатимуть осучаснення репертуару та залучення молоді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системи вимірювання результатів і контролю ефективності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пілотного проекту зміни фінансування в окремих закладах підпорядкування міністерства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Розвиток і підвищення прозорості секторів волонтерства і благодійності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Стимулювання прозорості і звітування благодійних і волонтерських організацій – фіскальне та інше стимулювання доступне виключно для прозорих організацій, які розкривають звітність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норматив-правових актів, що створюватимуть фіскальні стимули для тих благодійних організацій, які публікують аудійовані звіти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національної бази даних відповідності благодійних і громадських організацій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участі у волонтерстві або благодійності як додаткового елементу оцінювання при вступі до ВНЗ (додаткові бали до ЗНО за участь у надійних благодійних чи волонтерських організаціях)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концепції введення участі в відповідальних громадських та волонтерських організаціях до рейтингування учнів при подачі в ВНЗ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МКМС; 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пілотного проекту на базі вибраних ВНЗ/регіонів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індивідуальної фіскальної підтримки громадянами благодійних, волотнтерських та громадських організацій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концепції введення принципу індивідуальної часткової контрибуції в благодійний і громадський сектор (перерахування відсотку від ПДФО на вибрану організацію)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чинного законодавства для впровадження індивідуальної часткової контрибуції в благодійний і громадський сектор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Розвиток інфраструктури залучення населення (особливо молоді): фахівці, що здатні працювати із молоддю, простори та центри для соціалізації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Введення суспільних (в тому числі, молодіжних) просторів та центрів в стандарти планування територій і забудови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концепції і розрахунків покриття суспільними  (в тому числі, молодіжними) просторами та центрами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чинного законодавства для включення стандартів покриття суспільними (в тому числі, молодіжними) просторами та центрами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Побудова пілотних проектів суспільних (в тому числі, молодіжних) просторів та центрів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навчання для суспільних (у тому числі молодіжних) просторів та центрів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стандартів якості діяльності суспільних (у тому числі молодіжних) просторів та центрів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навчання для суспільних (у тому числі молодіжних) просторів та центрів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Розвиток програми підготовки молодіжних працівників та здійснення підготовки фахівців, що працюють із молоддю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системи вимірювання результатів і контролю ефективності програм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програми підготовки молодіжних працівників та підготовка фахівців, що працюють із молоддю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МКМС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1D8FA9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2020-02-10T10:29:28+02:00</dcterms:created>
  <dcterms:modified xsi:type="dcterms:W3CDTF">2020-02-10T10:29:28+02:00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