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«Платники податків мають нижче податкове навантаження та значно менше часу витрачають на їх адміністрування»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Для платників податків податкове навантаження за окремими видами податків є зависоким та їх адміністрування для них є достатньо обтяжливим</w:t>
      </w:r>
    </w:p>
    <w:p>
      <w:pPr/>
      <w:r>
        <w:rPr>
          <w:b w:val="1"/>
          <w:bCs w:val="1"/>
        </w:rPr>
        <w:t xml:space="preserve">1.2. Носій проблеми </w:t>
      </w:r>
    </w:p>
    <w:p>
      <w:pPr/>
      <w:r>
        <w:rPr/>
        <w:t xml:space="preserve">Платники податків України: юридичні особи та фізичні особи – платники податків</w:t>
      </w:r>
    </w:p>
    <w:p>
      <w:pPr/>
      <w:r>
        <w:rPr>
          <w:b w:val="1"/>
          <w:bCs w:val="1"/>
        </w:rPr>
        <w:t xml:space="preserve">1.3. Масштаб проблеми: Загальнонаціональна</w:t>
      </w:r>
    </w:p>
    <w:p>
      <w:pPr/>
      <w:r>
        <w:rPr/>
        <w:t xml:space="preserve">Питання податкового навантаження є загальнонаціональним, оскільки правила стосовно оподаткування встановлюються для всіх платників податків на загальнодержавному рівні.</w:t>
      </w:r>
    </w:p>
    <w:p>
      <w:pPr/>
      <w:r>
        <w:rPr/>
        <w:t xml:space="preserve">Згідно даних Державної податкової служби України станом на 01.11.2019 кількість платників податків: 1,4 млн. юридичних осіб, в т.ч. 2 594 – великі платники податків; 1,89 млн. – фізичних осіб – підприємців; 44,48 млн. - фізичних осіб.</w:t>
      </w:r>
    </w:p>
    <w:p>
      <w:pPr/>
      <w:r>
        <w:rPr>
          <w:b w:val="1"/>
          <w:bCs w:val="1"/>
        </w:rPr>
        <w:t xml:space="preserve">1.4. Гострота проблеми: Гостра</w:t>
      </w:r>
    </w:p>
    <w:p>
      <w:pPr/>
      <w:r>
        <w:rPr/>
        <w:t xml:space="preserve">Гострота проблеми з точки зору рівня оподаткування є значною для всіх категорій платників податків (згідно Індексу настроїв малого бізнесу ЕВА за 2018 рік, рівень податкового навантаження турбує 42% респондентів, 2-ге місце). В першу чергу це стосується податкового навантаження на виплату заробітної плати. Гострота проблеми щодо витрат платників податків на адміністрування є також достатньо високою (7-ме місце у згаданому вище Індексі). Це стосується питань блокування податкових накладних, надмірної та деталізованої податкової звітності, способу здійснення та результатів податкових перевірок, процедур адміністративного оскарження тощо. На даний момент особливої гостроти набула проблема фіскалізації господарських операцій для фізичних осіб – підприємців через введення РРО. Згідно рейтингу Doing Business 2019 однією з найбільших проблем в адмініструванні податків в Україні є час, що витрачається на адміністрування ПДВ.</w:t>
      </w:r>
    </w:p>
    <w:p>
      <w:pPr/>
      <w:r>
        <w:rPr>
          <w:b w:val="1"/>
          <w:bCs w:val="1"/>
        </w:rPr>
        <w:t xml:space="preserve">1.5. Динаміка проблеми:  Позитивна</w:t>
      </w:r>
    </w:p>
    <w:p>
      <w:pPr/>
      <w:r>
        <w:rPr/>
        <w:t xml:space="preserve">Змішана – з одного боку є фактори, які впливатимуть на зменшення гостроти проблеми, зокрема в частині податкового навантаження відбулося зменшення ставки ЕСВ з близько 40% в період до 2015 року, до 22% - після 2016 року. Також в частині адміністрування на зменшення проблеми впливають, зокрема, такі фактори як реформування ДПС (2019 рік), запровадження більшої кількості електронних сервісів (протягом 2014-2019 рр.), спрощення окремих податкових процедур (зокрема запровадження ритмічного відшкодування ПДВ 2017-2019 рр.) тощо. З іншого боку на збільшення гостроти проблеми впливають спроби детінізації економіки, вирівнювання податкового поля для всіх платників податків, процес фіскалізації, можлива імплементація BEPS (2020 рік).</w:t>
      </w:r>
    </w:p>
    <w:p>
      <w:pPr/>
      <w:r>
        <w:rPr>
          <w:b w:val="1"/>
          <w:bCs w:val="1"/>
        </w:rPr>
        <w:t xml:space="preserve">1.6. Причини проблеми</w:t>
      </w:r>
    </w:p>
    <w:p>
      <w:pPr/>
      <w:r>
        <w:rPr/>
        <w:t xml:space="preserve">Причина 1 - Ефективне застосування стимулюючої моделі оподаткування економіки</w:t>
      </w:r>
    </w:p>
    <w:p>
      <w:pPr/>
      <w:r>
        <w:rPr/>
        <w:t xml:space="preserve">Причина 2 - Зловживання з боку бізнесу податковими правилами</w:t>
      </w:r>
    </w:p>
    <w:p>
      <w:pPr/>
      <w:r>
        <w:rPr/>
        <w:t xml:space="preserve">Причина 3 - Недостатньо ефективна взаємодія податкових органів з платниками податків</w:t>
      </w:r>
    </w:p>
    <w:p>
      <w:pPr/>
      <w:r>
        <w:rPr>
          <w:b w:val="1"/>
          <w:bCs w:val="1"/>
        </w:rPr>
        <w:t xml:space="preserve">1.7. Показники ефективності політики</w:t>
      </w:r>
    </w:p>
    <w:p>
      <w:pPr>
        <w:numPr>
          <w:ilvl w:val="0"/>
          <w:numId w:val="1"/>
        </w:numPr>
      </w:pPr>
      <w:r>
        <w:rPr/>
        <w:t xml:space="preserve">Зменшення витрат та часу платників податків на податкове адміністрування</w:t>
      </w:r>
    </w:p>
    <w:p>
      <w:pPr>
        <w:numPr>
          <w:ilvl w:val="0"/>
          <w:numId w:val="1"/>
        </w:numPr>
      </w:pPr>
      <w:r>
        <w:rPr/>
        <w:t xml:space="preserve">Зниження загального податкового навантаження</w:t>
      </w:r>
    </w:p>
    <w:p>
      <w:pPr>
        <w:numPr>
          <w:ilvl w:val="0"/>
          <w:numId w:val="1"/>
        </w:numPr>
      </w:pPr>
      <w:r>
        <w:rPr/>
        <w:t xml:space="preserve">Зменшення перерозподілу ВВП через зведений бюджет і загалом через державний сектор</w:t>
      </w:r>
    </w:p>
    <w:p>
      <w:pPr>
        <w:numPr>
          <w:ilvl w:val="0"/>
          <w:numId w:val="1"/>
        </w:numPr>
      </w:pPr>
      <w:r>
        <w:rPr/>
        <w:t xml:space="preserve">Зменшення кількості судових справ у податкових спорах</w:t>
      </w:r>
    </w:p>
    <w:p>
      <w:pPr>
        <w:numPr>
          <w:ilvl w:val="0"/>
          <w:numId w:val="1"/>
        </w:numPr>
      </w:pPr>
      <w:r>
        <w:rPr/>
        <w:t xml:space="preserve">Підвищення рейтингу України в Doing Business за показником “Оподаткування” до 25 за результатами 2024 року</w:t>
      </w:r>
    </w:p>
    <w:p>
      <w:pPr/>
      <w:r>
        <w:rPr>
          <w:b w:val="1"/>
          <w:bCs w:val="1"/>
        </w:rPr>
        <w:t xml:space="preserve">1.8. Опис чинної державної політики щодо вирішення проблеми / її причин.</w:t>
      </w:r>
    </w:p>
    <w:p>
      <w:pPr/>
      <w:r>
        <w:rPr/>
        <w:t xml:space="preserve">Розбудова Нової Державної Податкової Служби на концептуально нових принципах взаємодії з платниками податків;</w:t>
      </w:r>
    </w:p>
    <w:p>
      <w:pPr/>
      <w:r>
        <w:rPr/>
        <w:t xml:space="preserve">Надання переважної більшості послуг платникам податків онлайн через електронний кабінет;</w:t>
      </w:r>
    </w:p>
    <w:p>
      <w:pPr/>
      <w:r>
        <w:rPr/>
        <w:t xml:space="preserve">Фіскалізація більшої кількості господарських операцій, в т.ч. через введення РРО;</w:t>
      </w:r>
    </w:p>
    <w:p>
      <w:pPr/>
      <w:r>
        <w:rPr/>
        <w:t xml:space="preserve">Прийняття законодавства по імплементації плану BEPS.</w:t>
      </w:r>
    </w:p>
    <w:p>
      <w:pPr/>
      <w:r>
        <w:rPr>
          <w:b w:val="1"/>
          <w:bCs w:val="1"/>
        </w:rPr>
        <w:t xml:space="preserve">2.	ПРОПОНОВАНИЙ КУРС ПОЛІТИКИ</w:t>
      </w:r>
    </w:p>
    <w:p>
      <w:pPr/>
      <w:r>
        <w:rPr>
          <w:b w:val="1"/>
          <w:bCs w:val="1"/>
        </w:rPr>
        <w:t xml:space="preserve">2.1. Підціль 1 “Ефективне застосування стимулюючої моделі оподаткування економіки”</w:t>
      </w:r>
    </w:p>
    <w:p>
      <w:pPr/>
      <w:r>
        <w:rPr>
          <w:b w:val="1"/>
          <w:bCs w:val="1"/>
        </w:rPr>
        <w:t xml:space="preserve">Показники результативності: </w:t>
      </w:r>
    </w:p>
    <w:p>
      <w:pPr>
        <w:numPr>
          <w:ilvl w:val="0"/>
          <w:numId w:val="1"/>
        </w:numPr>
      </w:pPr>
      <w:r>
        <w:rPr/>
        <w:t xml:space="preserve">Проведення реформи оподаткування у 2020 році</w:t>
      </w:r>
    </w:p>
    <w:p>
      <w:pPr/>
      <w:r>
        <w:rPr>
          <w:b w:val="1"/>
          <w:bCs w:val="1"/>
        </w:rPr>
        <w:t xml:space="preserve">Завдання до підцілі 1: </w:t>
      </w:r>
    </w:p>
    <w:p>
      <w:pPr>
        <w:numPr>
          <w:ilvl w:val="0"/>
          <w:numId w:val="1"/>
        </w:numPr>
      </w:pPr>
      <w:r>
        <w:rPr/>
        <w:t xml:space="preserve">1.	Розробка змін до Податкового Кодексу України з метою зменшення податкового навантаження платників податків (в частині податку на доходи фізичних осіб (податок на доходи фізичних осіб))</w:t>
      </w:r>
    </w:p>
    <w:p>
      <w:pPr>
        <w:numPr>
          <w:ilvl w:val="0"/>
          <w:numId w:val="1"/>
        </w:numPr>
      </w:pPr>
      <w:r>
        <w:rPr/>
        <w:t xml:space="preserve">2.	Вдосконалення процедур оподаткування нерухомого майна (земельних ділянок)</w:t>
      </w:r>
    </w:p>
    <w:p>
      <w:pPr>
        <w:numPr>
          <w:ilvl w:val="0"/>
          <w:numId w:val="1"/>
        </w:numPr>
      </w:pPr>
      <w:r>
        <w:rPr/>
        <w:t xml:space="preserve">3.	Перегляд екологічного податку</w:t>
      </w:r>
    </w:p>
    <w:p>
      <w:pPr/>
      <w:r>
        <w:rPr>
          <w:b w:val="1"/>
          <w:bCs w:val="1"/>
        </w:rPr>
        <w:t xml:space="preserve">2.2. Підціль 2 “Ефективна протидія зловживанням з боку бізнесу податковими правилами”</w:t>
      </w:r>
    </w:p>
    <w:p>
      <w:pPr/>
      <w:r>
        <w:rPr>
          <w:b w:val="1"/>
          <w:bCs w:val="1"/>
        </w:rPr>
        <w:t xml:space="preserve">Показники результативності: </w:t>
      </w:r>
    </w:p>
    <w:p>
      <w:pPr>
        <w:numPr>
          <w:ilvl w:val="0"/>
          <w:numId w:val="1"/>
        </w:numPr>
      </w:pPr>
      <w:r>
        <w:rPr/>
        <w:t xml:space="preserve">Розширення бази оподаткування по податку на прибуток на 25%</w:t>
      </w:r>
    </w:p>
    <w:p>
      <w:pPr/>
      <w:r>
        <w:rPr>
          <w:b w:val="1"/>
          <w:bCs w:val="1"/>
        </w:rPr>
        <w:t xml:space="preserve">Завдання до підцілі 2: </w:t>
      </w:r>
    </w:p>
    <w:p>
      <w:pPr>
        <w:numPr>
          <w:ilvl w:val="0"/>
          <w:numId w:val="1"/>
        </w:numPr>
      </w:pPr>
      <w:r>
        <w:rPr/>
        <w:t xml:space="preserve">1.	Прийняття пакету законів по реалізації BEPS</w:t>
      </w:r>
    </w:p>
    <w:p>
      <w:pPr>
        <w:numPr>
          <w:ilvl w:val="0"/>
          <w:numId w:val="1"/>
        </w:numPr>
      </w:pPr>
      <w:r>
        <w:rPr/>
        <w:t xml:space="preserve">2.	Запровадження FATCA та стандарту CRS</w:t>
      </w:r>
    </w:p>
    <w:p>
      <w:pPr>
        <w:numPr>
          <w:ilvl w:val="0"/>
          <w:numId w:val="1"/>
        </w:numPr>
      </w:pPr>
      <w:r>
        <w:rPr/>
        <w:t xml:space="preserve">3.	Ефективне використання механізмів трансфертного ціноутворення</w:t>
      </w:r>
    </w:p>
    <w:p>
      <w:pPr/>
      <w:r>
        <w:rPr>
          <w:b w:val="1"/>
          <w:bCs w:val="1"/>
        </w:rPr>
        <w:t xml:space="preserve">2.3. Підціль 3 “Вибудування ефективної взаємодії податкових органів з платниками податків”</w:t>
      </w:r>
    </w:p>
    <w:p>
      <w:pPr/>
      <w:r>
        <w:rPr>
          <w:b w:val="1"/>
          <w:bCs w:val="1"/>
        </w:rPr>
        <w:t xml:space="preserve">Показники результативності: </w:t>
      </w:r>
    </w:p>
    <w:p>
      <w:pPr>
        <w:numPr>
          <w:ilvl w:val="0"/>
          <w:numId w:val="1"/>
        </w:numPr>
      </w:pPr>
      <w:r>
        <w:rPr/>
        <w:t xml:space="preserve">Рівень довіри до Державної податкової служби зріс на 25%</w:t>
      </w:r>
    </w:p>
    <w:p>
      <w:pPr/>
      <w:r>
        <w:rPr>
          <w:b w:val="1"/>
          <w:bCs w:val="1"/>
        </w:rPr>
        <w:t xml:space="preserve">Завдання до підцілі 3: </w:t>
      </w:r>
    </w:p>
    <w:p>
      <w:pPr>
        <w:numPr>
          <w:ilvl w:val="0"/>
          <w:numId w:val="1"/>
        </w:numPr>
      </w:pPr>
      <w:r>
        <w:rPr/>
        <w:t xml:space="preserve">1.	Запровадження горизонтального моніторингу</w:t>
      </w:r>
    </w:p>
    <w:p>
      <w:pPr>
        <w:numPr>
          <w:ilvl w:val="0"/>
          <w:numId w:val="1"/>
        </w:numPr>
      </w:pPr>
      <w:r>
        <w:rPr/>
        <w:t xml:space="preserve">2.	Розширення застосування новітніх електронних технологій і сервісів, запровадження електронної документальної перевірки (е-аудиту) спочатку великих платників податків, а в подальшому всіх платників</w:t>
      </w:r>
    </w:p>
    <w:p>
      <w:pPr>
        <w:numPr>
          <w:ilvl w:val="0"/>
          <w:numId w:val="1"/>
        </w:numPr>
      </w:pPr>
      <w:r>
        <w:rPr/>
        <w:t xml:space="preserve">3.	Збільшення кількості випадків досудового врегулювання податкових спорів</w:t>
      </w:r>
    </w:p>
    <w:p>
      <w:pPr>
        <w:numPr>
          <w:ilvl w:val="0"/>
          <w:numId w:val="1"/>
        </w:numPr>
      </w:pPr>
      <w:r>
        <w:rPr/>
        <w:t xml:space="preserve">4.	Спрощення податкової звітності по основним видам податків</w:t>
      </w:r>
    </w:p>
    <w:p>
      <w:pPr>
        <w:numPr>
          <w:ilvl w:val="0"/>
          <w:numId w:val="1"/>
        </w:numPr>
      </w:pPr>
      <w:r>
        <w:rPr/>
        <w:t xml:space="preserve">5.	Зменшення кількості часу, який витрачається платниками податків на підготовку та подання податкової звітності згідно Doing business</w:t>
      </w:r>
    </w:p>
    <w:p>
      <w:pPr>
        <w:numPr>
          <w:ilvl w:val="0"/>
          <w:numId w:val="1"/>
        </w:numPr>
      </w:pPr>
      <w:r>
        <w:rPr/>
        <w:t xml:space="preserve">6.	Забезпечення функціонування ДПС як єдиної юридичної особи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Ефективне застосування стимулюючої моделі оподаткування економіки</w:t>
            </w:r>
          </w:p>
        </w:tc>
        <w:tc>
          <w:tcPr>
            <w:vAlign w:val="center"/>
            <w:vMerge w:val="restart"/>
          </w:tcPr>
          <w:p>
            <w:pPr>
              <w:jc w:val="center"/>
            </w:pPr>
            <w:r>
              <w:rPr>
                <w:sz w:val="20"/>
                <w:szCs w:val="20"/>
              </w:rPr>
              <w:t xml:space="preserve">1.	Розробка змін до Податкового Кодексу України з метою зменшення податкового навантаження платників податків (в частині податку на доходи фізичних осіб (податок на доходи фізичних осіб))</w:t>
            </w:r>
          </w:p>
        </w:tc>
        <w:tc>
          <w:tcPr>
            <w:vAlign w:val="center"/>
          </w:tcPr>
          <w:p>
            <w:pPr>
              <w:jc w:val="center"/>
            </w:pPr>
            <w:r>
              <w:rPr>
                <w:sz w:val="20"/>
                <w:szCs w:val="20"/>
              </w:rPr>
              <w:t xml:space="preserve">1) Розробити та внести на розгляд Кабінету Міністрів України відповідних проектів законодавчих актів щодо змін до Податкового кодексу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2.	Вдосконалення процедур оподаткування нерухомого майна (земельних ділянок)</w:t>
            </w:r>
          </w:p>
        </w:tc>
        <w:tc>
          <w:tcPr>
            <w:vAlign w:val="center"/>
          </w:tcPr>
          <w:p>
            <w:pPr>
              <w:jc w:val="center"/>
            </w:pPr>
            <w:r>
              <w:rPr>
                <w:sz w:val="20"/>
                <w:szCs w:val="20"/>
              </w:rPr>
              <w:t xml:space="preserve">1) Розробити та внести на розгляд Кабінету Міністрів України відповідних проектів законодавчих актів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3.	Перегляд екологічного податку</w:t>
            </w:r>
          </w:p>
        </w:tc>
        <w:tc>
          <w:tcPr>
            <w:vAlign w:val="center"/>
          </w:tcPr>
          <w:p>
            <w:pPr>
              <w:jc w:val="center"/>
            </w:pPr>
            <w:r>
              <w:rPr>
                <w:sz w:val="20"/>
                <w:szCs w:val="20"/>
              </w:rPr>
              <w:t xml:space="preserve">1) Розробити та внести на розгляд Кабінету Міністрів України відповідних проектів законодавчих актів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Мінфін; ДПС</w:t>
            </w:r>
          </w:p>
        </w:tc>
      </w:tr>
      <w:tr>
        <w:trPr/>
        <w:tc>
          <w:tcPr>
            <w:vAlign w:val="center"/>
            <w:vMerge w:val="restart"/>
          </w:tcPr>
          <w:p>
            <w:pPr>
              <w:jc w:val="center"/>
            </w:pPr>
            <w:r>
              <w:rPr>
                <w:sz w:val="20"/>
                <w:szCs w:val="20"/>
              </w:rPr>
              <w:t xml:space="preserve">Ефективна протидія зловживанням з боку бізнесу податковими правилами</w:t>
            </w:r>
          </w:p>
        </w:tc>
        <w:tc>
          <w:tcPr>
            <w:vAlign w:val="center"/>
            <w:vMerge w:val="restart"/>
          </w:tcPr>
          <w:p>
            <w:pPr>
              <w:jc w:val="center"/>
            </w:pPr>
            <w:r>
              <w:rPr>
                <w:sz w:val="20"/>
                <w:szCs w:val="20"/>
              </w:rPr>
              <w:t xml:space="preserve">1.	Прийняття пакету законів по реалізації BEPS</w:t>
            </w:r>
          </w:p>
        </w:tc>
        <w:tc>
          <w:tcPr>
            <w:vAlign w:val="center"/>
          </w:tcPr>
          <w:p>
            <w:pPr>
              <w:jc w:val="center"/>
            </w:pPr>
            <w:r>
              <w:rPr>
                <w:sz w:val="20"/>
                <w:szCs w:val="20"/>
              </w:rPr>
              <w:t xml:space="preserve">1) Прийняття Верховною радою  законопроекту №1210,  (у разі неприйняття - розробити та внести на розгляд Кабінету Міністрів власний законопроект  щодо реалізації BEPS)</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01-02-2020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2.	Запровадження FATCA та стандарту CRS</w:t>
            </w:r>
          </w:p>
        </w:tc>
        <w:tc>
          <w:tcPr>
            <w:vAlign w:val="center"/>
          </w:tcPr>
          <w:p>
            <w:pPr>
              <w:jc w:val="center"/>
            </w:pPr>
            <w:r>
              <w:rPr>
                <w:sz w:val="20"/>
                <w:szCs w:val="20"/>
              </w:rPr>
              <w:t xml:space="preserve">1) Прийняти проект Закону України «Про внесення змін до закону "Про банки та банківську діяльність, Податкового кодексу та ін."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01-01-2020</w:t>
            </w:r>
          </w:p>
        </w:tc>
        <w:tc>
          <w:tcPr>
            <w:vAlign w:val="center"/>
          </w:tcPr>
          <w:p>
            <w:pPr>
              <w:jc w:val="center"/>
            </w:pPr>
            <w:r>
              <w:rPr>
                <w:sz w:val="20"/>
                <w:szCs w:val="20"/>
              </w:rPr>
              <w:t xml:space="preserve">Мінфін</w:t>
            </w:r>
          </w:p>
        </w:tc>
      </w:tr>
      <w:tr>
        <w:trPr/>
        <w:tc>
          <w:tcPr>
            <w:vMerge w:val="continue"/>
          </w:tcPr>
          <w:p/>
        </w:tc>
        <w:tc>
          <w:tcPr>
            <w:vMerge w:val="continue"/>
          </w:tcPr>
          <w:p/>
        </w:tc>
        <w:tc>
          <w:tcPr>
            <w:vAlign w:val="center"/>
          </w:tcPr>
          <w:p>
            <w:pPr>
              <w:jc w:val="center"/>
            </w:pPr>
            <w:r>
              <w:rPr>
                <w:sz w:val="20"/>
                <w:szCs w:val="20"/>
              </w:rPr>
              <w:t xml:space="preserve">Підписати угоду про Автоматичний обмін фінансовою та податковою інформацією (МСАА)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w:t>
            </w:r>
          </w:p>
        </w:tc>
      </w:tr>
      <w:tr>
        <w:trPr/>
        <w:tc>
          <w:tcPr>
            <w:vMerge w:val="continue"/>
          </w:tcPr>
          <w:p/>
        </w:tc>
        <w:tc>
          <w:tcPr>
            <w:vAlign w:val="center"/>
            <w:vMerge w:val="restart"/>
          </w:tcPr>
          <w:p>
            <w:pPr>
              <w:jc w:val="center"/>
            </w:pPr>
            <w:r>
              <w:rPr>
                <w:sz w:val="20"/>
                <w:szCs w:val="20"/>
              </w:rPr>
              <w:t xml:space="preserve">3.	Ефективне використання механізмів трансфертного ціноутворення</w:t>
            </w:r>
          </w:p>
        </w:tc>
        <w:tc>
          <w:tcPr>
            <w:vAlign w:val="center"/>
          </w:tcPr>
          <w:p>
            <w:pPr>
              <w:jc w:val="center"/>
            </w:pPr>
            <w:r>
              <w:rPr>
                <w:sz w:val="20"/>
                <w:szCs w:val="20"/>
              </w:rPr>
              <w:t xml:space="preserve">1) Розробити та затвердити відповідними наказами алгоритм дій органів ДПС  по удосконаленню контролю за трансфертним ціноутворенням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01-01-2021</w:t>
            </w:r>
          </w:p>
        </w:tc>
        <w:tc>
          <w:tcPr>
            <w:vAlign w:val="center"/>
          </w:tcPr>
          <w:p>
            <w:pPr>
              <w:jc w:val="center"/>
            </w:pPr>
            <w:r>
              <w:rPr>
                <w:sz w:val="20"/>
                <w:szCs w:val="20"/>
              </w:rPr>
              <w:t xml:space="preserve">Мінфін; ДПС</w:t>
            </w:r>
          </w:p>
        </w:tc>
      </w:tr>
      <w:tr>
        <w:trPr/>
        <w:tc>
          <w:tcPr>
            <w:vAlign w:val="center"/>
            <w:vMerge w:val="restart"/>
          </w:tcPr>
          <w:p>
            <w:pPr>
              <w:jc w:val="center"/>
            </w:pPr>
            <w:r>
              <w:rPr>
                <w:sz w:val="20"/>
                <w:szCs w:val="20"/>
              </w:rPr>
              <w:t xml:space="preserve">Вибудування ефективної взаємодії податкових органів з платниками податків</w:t>
            </w:r>
          </w:p>
        </w:tc>
        <w:tc>
          <w:tcPr>
            <w:vAlign w:val="center"/>
            <w:vMerge w:val="restart"/>
          </w:tcPr>
          <w:p>
            <w:pPr>
              <w:jc w:val="center"/>
            </w:pPr>
            <w:r>
              <w:rPr>
                <w:sz w:val="20"/>
                <w:szCs w:val="20"/>
              </w:rPr>
              <w:t xml:space="preserve">1.	Запровадження горизонтального моніторингу</w:t>
            </w:r>
          </w:p>
        </w:tc>
        <w:tc>
          <w:tcPr>
            <w:vAlign w:val="center"/>
          </w:tcPr>
          <w:p>
            <w:pPr>
              <w:jc w:val="center"/>
            </w:pPr>
            <w:r>
              <w:rPr>
                <w:sz w:val="20"/>
                <w:szCs w:val="20"/>
              </w:rPr>
              <w:t xml:space="preserve">1) Для ефективного управління системою горизонтального моніторингу податковою службою розробляються чіткі інструкції для посадових осіб податкових органів, які будуть працювати за програмою горизонтального моніторингу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2.	Розширення застосування новітніх електронних технологій і сервісів, запровадження електронної документальної перевірки (е-аудиту) спочатку великих платників податків, а в подальшому всіх платників</w:t>
            </w:r>
          </w:p>
        </w:tc>
        <w:tc>
          <w:tcPr>
            <w:vAlign w:val="center"/>
          </w:tcPr>
          <w:p>
            <w:pPr>
              <w:jc w:val="center"/>
            </w:pPr>
            <w:r>
              <w:rPr>
                <w:sz w:val="20"/>
                <w:szCs w:val="20"/>
              </w:rPr>
              <w:t xml:space="preserve">Розробка відповідних нормативно-правових актів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3.	Збільшення кількості випадків досудового врегулювання податкових спорів</w:t>
            </w:r>
          </w:p>
        </w:tc>
        <w:tc>
          <w:tcPr>
            <w:vAlign w:val="center"/>
          </w:tcPr>
          <w:p>
            <w:pPr>
              <w:jc w:val="center"/>
            </w:pPr>
            <w:r>
              <w:rPr>
                <w:sz w:val="20"/>
                <w:szCs w:val="20"/>
              </w:rPr>
              <w:t xml:space="preserve">1) Пришвидшення адміністративного розгляду органами ДПС скарг платників, шляхом удосконалення нормативно-правової бази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01-01-2021</w:t>
            </w:r>
          </w:p>
        </w:tc>
        <w:tc>
          <w:tcPr>
            <w:vAlign w:val="center"/>
          </w:tcPr>
          <w:p>
            <w:pPr>
              <w:jc w:val="center"/>
            </w:pPr>
            <w:r>
              <w:rPr>
                <w:sz w:val="20"/>
                <w:szCs w:val="20"/>
              </w:rPr>
              <w:t xml:space="preserve">Мінфін; ДПС</w:t>
            </w:r>
          </w:p>
        </w:tc>
      </w:tr>
      <w:tr>
        <w:trPr/>
        <w:tc>
          <w:tcPr>
            <w:vMerge w:val="continue"/>
          </w:tcPr>
          <w:p/>
        </w:tc>
        <w:tc>
          <w:tcPr>
            <w:vMerge w:val="continue"/>
          </w:tcPr>
          <w:p/>
        </w:tc>
        <w:tc>
          <w:tcPr>
            <w:vAlign w:val="center"/>
          </w:tcPr>
          <w:p>
            <w:pPr>
              <w:jc w:val="center"/>
            </w:pPr>
            <w:r>
              <w:rPr>
                <w:sz w:val="20"/>
                <w:szCs w:val="20"/>
              </w:rPr>
              <w:t xml:space="preserve">2) Впровадження системи моніторингу результативності розгляду судами податкових спорів, що пройшли процедуру адміністративного оскарження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ДПС</w:t>
            </w:r>
          </w:p>
        </w:tc>
      </w:tr>
      <w:tr>
        <w:trPr/>
        <w:tc>
          <w:tcPr>
            <w:vMerge w:val="continue"/>
          </w:tcPr>
          <w:p/>
        </w:tc>
        <w:tc>
          <w:tcPr>
            <w:vMerge w:val="continue"/>
          </w:tcPr>
          <w:p/>
        </w:tc>
        <w:tc>
          <w:tcPr>
            <w:vAlign w:val="center"/>
          </w:tcPr>
          <w:p>
            <w:pPr>
              <w:jc w:val="center"/>
            </w:pPr>
            <w:r>
              <w:rPr>
                <w:sz w:val="20"/>
                <w:szCs w:val="20"/>
              </w:rPr>
              <w:t xml:space="preserve">3) Підготовка та оприлюднення звіту про результати розгляду податкових спорів в адміністративному та судовому порядку, який міститиме огляд найбільш поширених спірних питань, що стають предметом оскарження, та належного шляху їх вирішення (який враховуватиме висновки, викладені у Постановах Верховного Суду)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ДПС</w:t>
            </w:r>
          </w:p>
        </w:tc>
      </w:tr>
      <w:tr>
        <w:trPr/>
        <w:tc>
          <w:tcPr>
            <w:vMerge w:val="continue"/>
          </w:tcPr>
          <w:p/>
        </w:tc>
        <w:tc>
          <w:tcPr>
            <w:vMerge w:val="continue"/>
          </w:tcPr>
          <w:p/>
        </w:tc>
        <w:tc>
          <w:tcPr>
            <w:vAlign w:val="center"/>
          </w:tcPr>
          <w:p>
            <w:pPr>
              <w:jc w:val="center"/>
            </w:pPr>
            <w:r>
              <w:rPr>
                <w:sz w:val="20"/>
                <w:szCs w:val="20"/>
              </w:rPr>
              <w:t xml:space="preserve">4) Узагальнення практики розгляду податкових спорів в адміністративному та судовому порядках, інформування за результатами територіальних органів ДПС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ДПС</w:t>
            </w:r>
          </w:p>
        </w:tc>
      </w:tr>
      <w:tr>
        <w:trPr/>
        <w:tc>
          <w:tcPr>
            <w:vMerge w:val="continue"/>
          </w:tcPr>
          <w:p/>
        </w:tc>
        <w:tc>
          <w:tcPr>
            <w:vMerge w:val="continue"/>
          </w:tcPr>
          <w:p/>
        </w:tc>
        <w:tc>
          <w:tcPr>
            <w:vAlign w:val="center"/>
          </w:tcPr>
          <w:p>
            <w:pPr>
              <w:jc w:val="center"/>
            </w:pPr>
            <w:r>
              <w:rPr>
                <w:sz w:val="20"/>
                <w:szCs w:val="20"/>
              </w:rPr>
              <w:t xml:space="preserve">5) Розроблення та супроводження проектів актів стосовно внесення змін до законодавства щодо забезпечення єдиного підходу до розгляду скарг в адміністративному порядку, розширення можливості всебічного дослідження матеріалів скарг платників ЄСВ, впровадження кращих світових практик, забезпечення дотримання принципів адміністративної процедури належного врядування (good governance, good administration)</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4.	Спрощення податкової звітності по основним видам податків</w:t>
            </w:r>
          </w:p>
        </w:tc>
        <w:tc>
          <w:tcPr>
            <w:vAlign w:val="center"/>
          </w:tcPr>
          <w:p>
            <w:pPr>
              <w:jc w:val="center"/>
            </w:pPr>
            <w:r>
              <w:rPr>
                <w:sz w:val="20"/>
                <w:szCs w:val="20"/>
              </w:rPr>
              <w:t xml:space="preserve">1)  Розробка нормативно-правової бази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01-01-2021</w:t>
            </w:r>
          </w:p>
        </w:tc>
        <w:tc>
          <w:tcPr>
            <w:vAlign w:val="center"/>
          </w:tcPr>
          <w:p>
            <w:pPr>
              <w:jc w:val="center"/>
            </w:pPr>
            <w:r>
              <w:rPr>
                <w:sz w:val="20"/>
                <w:szCs w:val="20"/>
              </w:rPr>
              <w:t xml:space="preserve">Мінфін; ДПС</w:t>
            </w:r>
          </w:p>
        </w:tc>
      </w:tr>
      <w:tr>
        <w:trPr/>
        <w:tc>
          <w:tcPr>
            <w:vMerge w:val="continue"/>
          </w:tcPr>
          <w:p/>
        </w:tc>
        <w:tc>
          <w:tcPr>
            <w:vMerge w:val="continue"/>
          </w:tcPr>
          <w:p/>
        </w:tc>
        <w:tc>
          <w:tcPr>
            <w:vAlign w:val="center"/>
          </w:tcPr>
          <w:p>
            <w:pPr>
              <w:jc w:val="center"/>
            </w:pPr>
            <w:r>
              <w:rPr>
                <w:sz w:val="20"/>
                <w:szCs w:val="20"/>
              </w:rPr>
              <w:t xml:space="preserve">2) Нормативно-правове забезпечення імплементації законодавчих норм щодо запровадження єдиного рахунку для сплати податків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Мінфін; ДПС </w:t>
            </w:r>
          </w:p>
        </w:tc>
      </w:tr>
      <w:tr>
        <w:trPr/>
        <w:tc>
          <w:tcPr>
            <w:vMerge w:val="continue"/>
          </w:tcPr>
          <w:p/>
        </w:tc>
        <w:tc>
          <w:tcPr>
            <w:vMerge w:val="continue"/>
          </w:tcPr>
          <w:p/>
        </w:tc>
        <w:tc>
          <w:tcPr>
            <w:vAlign w:val="center"/>
          </w:tcPr>
          <w:p>
            <w:pPr>
              <w:jc w:val="center"/>
            </w:pPr>
            <w:r>
              <w:rPr>
                <w:sz w:val="20"/>
                <w:szCs w:val="20"/>
              </w:rPr>
              <w:t xml:space="preserve">3) Створити умови для подання платниками ЄСВ, платниками податків, у тому числі податковими агентами, контролюючим органам єдиної звітності з ЄСВ та ПДФО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01-01-2021</w:t>
            </w:r>
          </w:p>
        </w:tc>
        <w:tc>
          <w:tcPr>
            <w:vAlign w:val="center"/>
          </w:tcPr>
          <w:p>
            <w:pPr>
              <w:jc w:val="center"/>
            </w:pPr>
            <w:r>
              <w:rPr>
                <w:sz w:val="20"/>
                <w:szCs w:val="20"/>
              </w:rPr>
              <w:t xml:space="preserve">Мінфін; ДПС; Держказначейство </w:t>
            </w:r>
          </w:p>
        </w:tc>
      </w:tr>
      <w:tr>
        <w:trPr/>
        <w:tc>
          <w:tcPr>
            <w:vMerge w:val="continue"/>
          </w:tcPr>
          <w:p/>
        </w:tc>
        <w:tc>
          <w:tcPr>
            <w:vAlign w:val="center"/>
            <w:vMerge w:val="restart"/>
          </w:tcPr>
          <w:p>
            <w:pPr>
              <w:jc w:val="center"/>
            </w:pPr>
            <w:r>
              <w:rPr>
                <w:sz w:val="20"/>
                <w:szCs w:val="20"/>
              </w:rPr>
              <w:t xml:space="preserve">5.	Зменшення кількості часу, який витрачається платниками податків на підготовку та подання податкової звітності згідно Doing business</w:t>
            </w:r>
          </w:p>
        </w:tc>
        <w:tc>
          <w:tcPr>
            <w:vAlign w:val="center"/>
          </w:tcPr>
          <w:p>
            <w:pPr>
              <w:jc w:val="center"/>
            </w:pPr>
            <w:r>
              <w:rPr>
                <w:sz w:val="20"/>
                <w:szCs w:val="20"/>
              </w:rPr>
              <w:t xml:space="preserve">1) Збільшити відсоток послуг, які дотичні до оподаткування, що надаються онлайн через електронний кабінет платника податків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Мінфін; ДПС</w:t>
            </w:r>
          </w:p>
        </w:tc>
      </w:tr>
      <w:tr>
        <w:trPr/>
        <w:tc>
          <w:tcPr>
            <w:vMerge w:val="continue"/>
          </w:tcPr>
          <w:p/>
        </w:tc>
        <w:tc>
          <w:tcPr>
            <w:vAlign w:val="center"/>
            <w:vMerge w:val="restart"/>
          </w:tcPr>
          <w:p>
            <w:pPr>
              <w:jc w:val="center"/>
            </w:pPr>
            <w:r>
              <w:rPr>
                <w:sz w:val="20"/>
                <w:szCs w:val="20"/>
              </w:rPr>
              <w:t xml:space="preserve">6.	Забезпечення функціонування ДПС як єдиної юридичної особи</w:t>
            </w:r>
          </w:p>
        </w:tc>
        <w:tc>
          <w:tcPr>
            <w:vAlign w:val="center"/>
          </w:tcPr>
          <w:p>
            <w:pPr>
              <w:jc w:val="center"/>
            </w:pPr>
            <w:r>
              <w:rPr>
                <w:sz w:val="20"/>
                <w:szCs w:val="20"/>
              </w:rPr>
              <w:t xml:space="preserve">Прийняти проект Закону щодо функціонування ДПС як єдиної юридичної особи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Мінфін; ДПС</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366AC8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2020-02-10T10:29:33+02:00</dcterms:created>
  <dcterms:modified xsi:type="dcterms:W3CDTF">2020-02-10T10:29:33+02:00</dcterms:modified>
</cp:coreProperties>
</file>

<file path=docProps/custom.xml><?xml version="1.0" encoding="utf-8"?>
<Properties xmlns="http://schemas.openxmlformats.org/officeDocument/2006/custom-properties" xmlns:vt="http://schemas.openxmlformats.org/officeDocument/2006/docPropsVTypes"/>
</file>