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6.3 «Доброчесні експортери та імпортери України та громадяни мають прозорі, прості та передбачувані правила митного контролю та митного оформлення, при цьому їх економічні інтереси та інтереси щодо рівності конкурентних умов захищені»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Для доброчесних експортерів, імпортерів та громадян відсутні прозорі, прості та передбачувані правила митного контролю та митного оформлення</w:t>
      </w:r>
    </w:p>
    <w:p>
      <w:pPr/>
      <w:r>
        <w:rPr>
          <w:b w:val="1"/>
          <w:bCs w:val="1"/>
        </w:rPr>
        <w:t xml:space="preserve">1.2. Носій проблеми </w:t>
      </w:r>
    </w:p>
    <w:p>
      <w:pPr/>
      <w:r>
        <w:rPr/>
        <w:t xml:space="preserve">Суб’єкти зовнішньоекономічної діяльності, громадяни, які переміщують товари через митний кордон України</w:t>
      </w:r>
    </w:p>
    <w:p>
      <w:pPr/>
      <w:r>
        <w:rPr>
          <w:b w:val="1"/>
          <w:bCs w:val="1"/>
        </w:rPr>
        <w:t xml:space="preserve">1.3. Масштаб проблеми: Загальнонаціональна</w:t>
      </w:r>
    </w:p>
    <w:p>
      <w:pPr/>
      <w:r>
        <w:rPr/>
        <w:t xml:space="preserve">Проблема у відношенні суб’єктів господарювання стосується 131 тис. осіб (кількість осіб, які перебувають на обліку в митних органах України за даними Державної митної служби України станом на 01 грудня 2019 року), у відношенні фізичних осіб стосується будь-якого громадянина, який досягнув 16-річного віку (відповідно до статті 265 Митного кодексу України).</w:t>
      </w:r>
    </w:p>
    <w:p>
      <w:pPr/>
      <w:r>
        <w:rPr>
          <w:b w:val="1"/>
          <w:bCs w:val="1"/>
        </w:rPr>
        <w:t xml:space="preserve">1.4. Гострота проблеми: Гостра</w:t>
      </w:r>
    </w:p>
    <w:p>
      <w:pPr/>
      <w:r>
        <w:rPr/>
        <w:t xml:space="preserve">Через складність процедур здійснення митного контролю та оформлення, пов’язану із необхідністю контролю з боку митних органів за дотриманням суб’єктами зовнішньоекономічної діяльності законодавства з питань митної справи,  доброчесні експортери, імпортери несуть додаткові матеріальні та часові витрати для здійснення митного оформлення своїх товарів.</w:t>
      </w:r>
    </w:p>
    <w:p>
      <w:pPr/>
      <w:r>
        <w:rPr/>
        <w:t xml:space="preserve">Крім того доброчесні експортери, імпортери через недотримання недобросовісними суб’єктами зовнішньоекономічної діяльності встановлених правил митного контролю та митного оформлення товарів та транспортних засобів втрачають свої доходи через нерівні умови ведення бізнесу.</w:t>
      </w:r>
    </w:p>
    <w:p>
      <w:pPr/>
      <w:r>
        <w:rPr>
          <w:b w:val="1"/>
          <w:bCs w:val="1"/>
        </w:rPr>
        <w:t xml:space="preserve">1.5. Динаміка проблеми:  Позитивна</w:t>
      </w:r>
    </w:p>
    <w:p>
      <w:pPr/>
      <w:r>
        <w:rPr/>
        <w:t xml:space="preserve">Втрати державного бюджету через існування схем, спрямованих на ухилення від сплати митних платежів, за різними оцінками коливаються від 20 до 80 млрд. грн. щороку.</w:t>
      </w:r>
    </w:p>
    <w:p>
      <w:pPr/>
      <w:r>
        <w:rPr/>
        <w:t xml:space="preserve">Рівень тінізації імпорту/експорту в Україні у 2019 році за різними оцінками складає від 20 до 30 відсотків від загальної кількості товарів, переміщених через митний кордон.</w:t>
      </w:r>
    </w:p>
    <w:p>
      <w:pPr/>
      <w:r>
        <w:rPr>
          <w:b w:val="1"/>
          <w:bCs w:val="1"/>
        </w:rPr>
        <w:t xml:space="preserve">1.6. Причини проблеми</w:t>
      </w:r>
    </w:p>
    <w:p>
      <w:pPr/>
      <w:r>
        <w:rPr/>
        <w:t xml:space="preserve">Причина 1 - Використання значною кількістю бізнесу «сірих» схем при митному оформленні товарів, зловживання з боку бізнесу встановленими правилами митного контролю та митного оформлення товарів та транспортних засобів</w:t>
      </w:r>
    </w:p>
    <w:p>
      <w:pPr/>
      <w:r>
        <w:rPr/>
        <w:t xml:space="preserve">Причина 2 - Недостатньо ефективна боротьба з митними зловживаннями з боку держави</w:t>
      </w:r>
    </w:p>
    <w:p>
      <w:pPr/>
      <w:r>
        <w:rPr/>
        <w:t xml:space="preserve">Причина 3 - Недостатньо ефективна взаємодія митних органів з суб’єктами зовнішньоекономічної діяльності</w:t>
      </w:r>
    </w:p>
    <w:p>
      <w:pPr/>
      <w:r>
        <w:rPr>
          <w:b w:val="1"/>
          <w:bCs w:val="1"/>
        </w:rPr>
        <w:t xml:space="preserve">1.7. Показники ефективності політики</w:t>
      </w:r>
    </w:p>
    <w:p>
      <w:pPr>
        <w:numPr>
          <w:ilvl w:val="0"/>
          <w:numId w:val="1"/>
        </w:numPr>
      </w:pPr>
      <w:r>
        <w:rPr/>
        <w:t xml:space="preserve">Зниження грошових та часових витрат для доброчесного бізнесу на проходження митних процедур не менше ніж на 5% щороку</w:t>
      </w:r>
    </w:p>
    <w:p>
      <w:pPr>
        <w:numPr>
          <w:ilvl w:val="0"/>
          <w:numId w:val="1"/>
        </w:numPr>
      </w:pPr>
      <w:r>
        <w:rPr/>
        <w:t xml:space="preserve">Недопущення митних зловживань та викривлення конкуренції</w:t>
      </w:r>
    </w:p>
    <w:p>
      <w:pPr/>
      <w:r>
        <w:rPr>
          <w:b w:val="1"/>
          <w:bCs w:val="1"/>
        </w:rPr>
        <w:t xml:space="preserve">1.8. Опис чинної державної політики щодо вирішення проблеми / її причин.</w:t>
      </w:r>
    </w:p>
    <w:p>
      <w:pPr/>
      <w:r>
        <w:rPr/>
        <w:t xml:space="preserve">В рамках реформування системи органів, що реалізують державну митну політику, розпорядженням Кабінету Міністрів України від 27 грудня 2018 р. № 1101-р схвалено концептуальні напрями реформування системи органів доходів і зборів України.</w:t>
      </w:r>
    </w:p>
    <w:p>
      <w:pPr/>
      <w:r>
        <w:rPr/>
        <w:t xml:space="preserve">Реформування передбачається здійснювати за такими напрямами:</w:t>
      </w:r>
    </w:p>
    <w:p>
      <w:pPr/>
      <w:r>
        <w:rPr/>
        <w:t xml:space="preserve">- оптимізація організаційної та функціональної структури;</w:t>
      </w:r>
    </w:p>
    <w:p>
      <w:pPr/>
      <w:r>
        <w:rPr/>
        <w:t xml:space="preserve">- розвиток персоналу, реформи для забезпечення доброчесності та антикорупційні заходи;</w:t>
      </w:r>
    </w:p>
    <w:p>
      <w:pPr/>
      <w:r>
        <w:rPr/>
        <w:t xml:space="preserve">- прозорість та контрольованість реформи;</w:t>
      </w:r>
    </w:p>
    <w:p>
      <w:pPr/>
      <w:r>
        <w:rPr/>
        <w:t xml:space="preserve">- сприяння безпеці та міжнародній торгівлі, включаючи спрощення та гармонізацію митних процедур;</w:t>
      </w:r>
    </w:p>
    <w:p>
      <w:pPr/>
      <w:r>
        <w:rPr/>
        <w:t xml:space="preserve">- сприяння ефективному справлянню митних платежів;</w:t>
      </w:r>
    </w:p>
    <w:p>
      <w:pPr/>
      <w:r>
        <w:rPr/>
        <w:t xml:space="preserve">- розвиток інфраструктури, електронних технологій та сервісів для міжнародної торгівлі;</w:t>
      </w:r>
    </w:p>
    <w:p>
      <w:pPr/>
      <w:r>
        <w:rPr/>
        <w:t xml:space="preserve">- захист суспільства, громадського здоров’я і безпеки навколишнього природного середовища та боротьба з незаконним переміщенням наркотичних засобів та зброї;</w:t>
      </w:r>
    </w:p>
    <w:p>
      <w:pPr/>
      <w:r>
        <w:rPr/>
        <w:t xml:space="preserve">- підвищення ефективності міжнародного митного співробітництва.</w:t>
      </w:r>
    </w:p>
    <w:p>
      <w:pPr/>
      <w:r>
        <w:rPr/>
        <w:t xml:space="preserve">Розпорядженням Кабінету Міністрів України від 5 липня 2019 р. № 542-р затверджено план заходів щодо реалізації концептуальних напрямів реформування системи органів, що реалізують державну митну політику.</w:t>
      </w:r>
    </w:p>
    <w:p>
      <w:pPr/>
      <w:r>
        <w:rPr/>
        <w:t xml:space="preserve">Метою чинної державної політики є побудова на базі Державної митної служби України ефективної моделі здійснення заходів державної митної політики та впровадження в її діяльність кращих світових практик з реалізації державної митної політики, удосконалення існуючих процедур, налагодження процесів інституціонального оновлення та розвитку функціональної спроможності виконання покладених завдань.</w:t>
      </w:r>
    </w:p>
    <w:p>
      <w:pPr/>
      <w:r>
        <w:rPr>
          <w:b w:val="1"/>
          <w:bCs w:val="1"/>
        </w:rPr>
        <w:t xml:space="preserve">2.	ПРОПОНОВАНИЙ КУРС ПОЛІТИКИ</w:t>
      </w:r>
    </w:p>
    <w:p>
      <w:pPr/>
      <w:r>
        <w:rPr>
          <w:b w:val="1"/>
          <w:bCs w:val="1"/>
        </w:rPr>
        <w:t xml:space="preserve">2.1. Підціль 1 “Максимальне зменшення використання «сірих» схем при митному оформленні товарів”</w:t>
      </w:r>
    </w:p>
    <w:p>
      <w:pPr/>
      <w:r>
        <w:rPr>
          <w:b w:val="1"/>
          <w:bCs w:val="1"/>
        </w:rPr>
        <w:t xml:space="preserve">Показники результативності: </w:t>
      </w:r>
    </w:p>
    <w:p>
      <w:pPr>
        <w:numPr>
          <w:ilvl w:val="0"/>
          <w:numId w:val="1"/>
        </w:numPr>
      </w:pPr>
      <w:r>
        <w:rPr/>
        <w:t xml:space="preserve">Розширення бази оподаткування митними платежами за рахунок детінізації зовнішньоекономічних операцій на 20-30 %</w:t>
      </w:r>
    </w:p>
    <w:p>
      <w:pPr/>
      <w:r>
        <w:rPr>
          <w:b w:val="1"/>
          <w:bCs w:val="1"/>
        </w:rPr>
        <w:t xml:space="preserve">Завдання до підцілі 1: </w:t>
      </w:r>
    </w:p>
    <w:p>
      <w:pPr>
        <w:numPr>
          <w:ilvl w:val="0"/>
          <w:numId w:val="1"/>
        </w:numPr>
      </w:pPr>
      <w:r>
        <w:rPr/>
        <w:t xml:space="preserve">Запровадження ризик-орієнтованого підходу при роботі з суб’єктами ЗЕД</w:t>
      </w:r>
    </w:p>
    <w:p>
      <w:pPr>
        <w:numPr>
          <w:ilvl w:val="0"/>
          <w:numId w:val="1"/>
        </w:numPr>
      </w:pPr>
      <w:r>
        <w:rPr/>
        <w:t xml:space="preserve">Запровадження системи оцінювання ефективності митного аудиту як форми митного контролю на підставі фактично виявлених порушень, сплачених податків до державного бюджету, результатів розгляду судових справ та їх подальших перспектив</w:t>
      </w:r>
    </w:p>
    <w:p>
      <w:pPr>
        <w:numPr>
          <w:ilvl w:val="0"/>
          <w:numId w:val="1"/>
        </w:numPr>
      </w:pPr>
      <w:r>
        <w:rPr/>
        <w:t xml:space="preserve">Запровадження системи недопущення митних правопорушень шляхом повної електронізації процесів і повного відеонагляду та використання сканерів/засобів безконтактного моніторингу як за проходженням на митниці, так і подальшого слідування товарів</w:t>
      </w:r>
    </w:p>
    <w:p>
      <w:pPr>
        <w:numPr>
          <w:ilvl w:val="0"/>
          <w:numId w:val="1"/>
        </w:numPr>
      </w:pPr>
      <w:r>
        <w:rPr/>
        <w:t xml:space="preserve">Розроблення політики, систем, процедур та правових інструментів для ефективного управління ризиками, що дасть змогу забезпечити баланс між сприянням торгівлі та функціями безпеки</w:t>
      </w:r>
    </w:p>
    <w:p>
      <w:pPr>
        <w:numPr>
          <w:ilvl w:val="0"/>
          <w:numId w:val="1"/>
        </w:numPr>
      </w:pPr>
      <w:r>
        <w:rPr/>
        <w:t xml:space="preserve">Модернізація системи контролю за визначенням митної вартості та організація центру цінової інформації з метою створення інтегрованої довідкової цінової бази даних</w:t>
      </w:r>
    </w:p>
    <w:p>
      <w:pPr>
        <w:numPr>
          <w:ilvl w:val="0"/>
          <w:numId w:val="1"/>
        </w:numPr>
      </w:pPr>
      <w:r>
        <w:rPr/>
        <w:t xml:space="preserve">Імплементація законодавства щодо впровадження програми авторизованих економічних операторів (АЕО) та процедури спільного транзиту ЄС/ЄАВТ</w:t>
      </w:r>
    </w:p>
    <w:p>
      <w:pPr>
        <w:numPr>
          <w:ilvl w:val="0"/>
          <w:numId w:val="1"/>
        </w:numPr>
      </w:pPr>
      <w:r>
        <w:rPr/>
        <w:t xml:space="preserve">Взаємне визнання програм авторизованих економічних операторів</w:t>
      </w:r>
    </w:p>
    <w:p>
      <w:pPr>
        <w:numPr>
          <w:ilvl w:val="0"/>
          <w:numId w:val="1"/>
        </w:numPr>
      </w:pPr>
      <w:r>
        <w:rPr/>
        <w:t xml:space="preserve">Приєднання України до Конвенції про процедуру спільного транзиту та Конвенції про спрощення формальностей у торгівлі товарами</w:t>
      </w:r>
    </w:p>
    <w:p>
      <w:pPr/>
      <w:r>
        <w:rPr>
          <w:b w:val="1"/>
          <w:bCs w:val="1"/>
        </w:rPr>
        <w:t xml:space="preserve">2.2. Підціль 2 “Ефективна боротьба з митними зловживаннями з боку держави”</w:t>
      </w:r>
    </w:p>
    <w:p>
      <w:pPr/>
      <w:r>
        <w:rPr>
          <w:b w:val="1"/>
          <w:bCs w:val="1"/>
        </w:rPr>
        <w:t xml:space="preserve">Показники результативності: </w:t>
      </w:r>
    </w:p>
    <w:p>
      <w:pPr>
        <w:numPr>
          <w:ilvl w:val="0"/>
          <w:numId w:val="1"/>
        </w:numPr>
      </w:pPr>
      <w:r>
        <w:rPr/>
        <w:t xml:space="preserve">Зменшення тінізації імпорту/експорту в Україні на 20 % - 30 % щороку</w:t>
      </w:r>
    </w:p>
    <w:p>
      <w:pPr/>
      <w:r>
        <w:rPr>
          <w:b w:val="1"/>
          <w:bCs w:val="1"/>
        </w:rPr>
        <w:t xml:space="preserve">Завдання до підцілі 2: </w:t>
      </w:r>
    </w:p>
    <w:p>
      <w:pPr>
        <w:numPr>
          <w:ilvl w:val="0"/>
          <w:numId w:val="1"/>
        </w:numPr>
      </w:pPr>
      <w:r>
        <w:rPr/>
        <w:t xml:space="preserve">Створення системи сприяння захисту прав інтелектуальної власності, що не перешкоджає законній торгівлі та забезпечує протидію потраплянню на територію України контрафактних товарів</w:t>
      </w:r>
    </w:p>
    <w:p>
      <w:pPr>
        <w:numPr>
          <w:ilvl w:val="0"/>
          <w:numId w:val="1"/>
        </w:numPr>
      </w:pPr>
      <w:r>
        <w:rPr/>
        <w:t xml:space="preserve">Підписання нових угод та активізація обміну інформацією за діючими угодами із суміжними країнами та найбільшими торговельними партнерами України щодо обміну попередньою митною інформацією про товари і транспортні засоби, що переміщуються через митний кордон України</w:t>
      </w:r>
    </w:p>
    <w:p>
      <w:pPr>
        <w:numPr>
          <w:ilvl w:val="0"/>
          <w:numId w:val="1"/>
        </w:numPr>
      </w:pPr>
      <w:r>
        <w:rPr/>
        <w:t xml:space="preserve">Ратифікація необхідних міжнародних конвенцій і угод з метою забезпечення міжвідомчого співробітництва та обміну інформацією в країні та на міжнародному рівні, включаючи взаємну адміністративну підтримку</w:t>
      </w:r>
    </w:p>
    <w:p>
      <w:pPr>
        <w:numPr>
          <w:ilvl w:val="0"/>
          <w:numId w:val="1"/>
        </w:numPr>
      </w:pPr>
      <w:r>
        <w:rPr/>
        <w:t xml:space="preserve">Співпраця на керівному та операційному рівні між митними адміністраціями суміжних країн для сприяння транскордонному двосторонньому митному співробітництву</w:t>
      </w:r>
    </w:p>
    <w:p>
      <w:pPr>
        <w:numPr>
          <w:ilvl w:val="0"/>
          <w:numId w:val="1"/>
        </w:numPr>
      </w:pPr>
      <w:r>
        <w:rPr/>
        <w:t xml:space="preserve">Підвищення інституційної спроможності у сфері правоохоронної діяльності митниці</w:t>
      </w:r>
    </w:p>
    <w:p>
      <w:pPr/>
      <w:r>
        <w:rPr>
          <w:b w:val="1"/>
          <w:bCs w:val="1"/>
        </w:rPr>
        <w:t xml:space="preserve">2.3. Підціль 3 “Налагодження ефективної взаємодія митних органів з суб’єктами зовнішньоекономічної діяльності”</w:t>
      </w:r>
    </w:p>
    <w:p>
      <w:pPr/>
      <w:r>
        <w:rPr>
          <w:b w:val="1"/>
          <w:bCs w:val="1"/>
        </w:rPr>
        <w:t xml:space="preserve">Показники результативності: </w:t>
      </w:r>
    </w:p>
    <w:p>
      <w:pPr>
        <w:numPr>
          <w:ilvl w:val="0"/>
          <w:numId w:val="1"/>
        </w:numPr>
      </w:pPr>
      <w:r>
        <w:rPr/>
        <w:t xml:space="preserve">Зростання рівня довіри до Державної митної служби на 25%</w:t>
      </w:r>
    </w:p>
    <w:p>
      <w:pPr/>
      <w:r>
        <w:rPr>
          <w:b w:val="1"/>
          <w:bCs w:val="1"/>
        </w:rPr>
        <w:t xml:space="preserve">Завдання до підцілі 3: </w:t>
      </w:r>
    </w:p>
    <w:p>
      <w:pPr>
        <w:numPr>
          <w:ilvl w:val="0"/>
          <w:numId w:val="1"/>
        </w:numPr>
      </w:pPr>
      <w:r>
        <w:rPr/>
        <w:t xml:space="preserve">Розвиток та розширення функціональних можливостей сервісу «Єдине вікно»</w:t>
      </w:r>
    </w:p>
    <w:p>
      <w:pPr>
        <w:numPr>
          <w:ilvl w:val="0"/>
          <w:numId w:val="1"/>
        </w:numPr>
      </w:pPr>
      <w:r>
        <w:rPr/>
        <w:t xml:space="preserve">Створення зручних для користування бізнесом онлайн-сервісів для перегляду реєстру попередніх рішень про класифікацію товару, знеособленої інформації про класифікацію товару з оформлених митних декларацій тощо</w:t>
      </w:r>
    </w:p>
    <w:p>
      <w:pPr>
        <w:numPr>
          <w:ilvl w:val="0"/>
          <w:numId w:val="1"/>
        </w:numPr>
      </w:pPr>
      <w:r>
        <w:rPr/>
        <w:t xml:space="preserve">Запровадження ефективного механізму розгляду скарг бізнесу в адміністративному порядку, збільшення кількості скарг суб’єктів ЗЕД, які вирішуються в досудовому порядку</w:t>
      </w:r>
    </w:p>
    <w:p>
      <w:pPr>
        <w:numPr>
          <w:ilvl w:val="0"/>
          <w:numId w:val="1"/>
        </w:numPr>
      </w:pPr>
      <w:r>
        <w:rPr/>
        <w:t xml:space="preserve">Підготовка комунікаційних стратегій, які передбачають послідовне висвітлення процесу реформування та забезпечуватимуть єдину політику комунікацій Держмитслужби та її територіальних органів</w:t>
      </w:r>
    </w:p>
    <w:p>
      <w:pPr>
        <w:numPr>
          <w:ilvl w:val="0"/>
          <w:numId w:val="1"/>
        </w:numPr>
      </w:pPr>
      <w:r>
        <w:rPr/>
        <w:t xml:space="preserve">Мінімізація впливу людського фактора та автоматизація процесів під час виконання стандартизованих оперативних завдань, концентрація ресурсів на інтелектуальних методах контролю і запобігання порушенням у сфері митного законодавства</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299C15A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2020-02-10T10:29:34+02:00</dcterms:created>
  <dcterms:modified xsi:type="dcterms:W3CDTF">2020-02-10T10:29:34+02:00</dcterms:modified>
</cp:coreProperties>
</file>

<file path=docProps/custom.xml><?xml version="1.0" encoding="utf-8"?>
<Properties xmlns="http://schemas.openxmlformats.org/officeDocument/2006/custom-properties" xmlns:vt="http://schemas.openxmlformats.org/officeDocument/2006/docPropsVTypes"/>
</file>