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6.4. «Бізнес та громадяни мають доступ до значно дешевших фінансових ресурсів» 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Розширення доступу бізнесу і громадян до значно дешевших фінансових ресурсів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Юридичні особи та фізичні особи – юридичні особи у державному, комунальному та корпоративному секторах ,Населення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100 % державних та комунальних підприємств, бізнесу і населення не мають можливості отримати дешеві фінансові ресурси, оскільки є обмеженим </w:t>
      </w:r>
      <w:r>
        <w:rPr>
          <w:i w:val="1"/>
          <w:iCs w:val="1"/>
        </w:rPr>
        <w:t xml:space="preserve">доступ до фінансових</w:t>
      </w:r>
      <w:r>
        <w:rPr/>
        <w:t xml:space="preserve"> та грошових ринків</w:t>
      </w:r>
    </w:p>
    <w:p>
      <w:pPr/>
      <w:r>
        <w:rPr>
          <w:b w:val="1"/>
          <w:bCs w:val="1"/>
        </w:rPr>
        <w:t xml:space="preserve">1.4. Гострота проблеми: Середня</w:t>
      </w:r>
    </w:p>
    <w:p>
      <w:pPr/>
      <w:r>
        <w:rPr/>
        <w:t xml:space="preserve">З точки зору бізнесу і громадян проблема високих кредитних ставок та доступність кредитування є середньою</w:t>
      </w:r>
      <w:r>
        <w:rPr/>
        <w:t xml:space="preserve">.</w:t>
      </w:r>
      <w:r>
        <w:rPr/>
        <w:t xml:space="preserve"> Середньозважена процентна ставка у серпні для юридичних осіб становить 18,1 %, а для фізичних – 35,8 %.</w:t>
      </w:r>
    </w:p>
    <w:p>
      <w:pPr/>
      <w:r>
        <w:rPr/>
        <w:t xml:space="preserve">Проблема впливає на якість життя людей, рівень ефективності економіки.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Протягом останніх років не спостерігалось тенденції сталого зменшення ставки за кредитами корпоративному сектору, в свою чергу спостерігається зростання ставки за кредитами фізичним особам. В історичному вимірі середньозважені ставки в річному обчисленні (без урахування овердрафту) за кредитами корпоративному сектору становили 16.3% (2015), 14.3% (2016), 12.7% (2017), 15.8% (2018), 13.2% (жовтень 2019); фізичним особам ( без фізичних осіб- підприємців) - 27% (2015), 30.9% (2016), 29.2% (2017), 31.9% (2018), 36.0% (жовтень 2019).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Військова агресія РФ та загальноекономічна і політична нестабільність минулих років</w:t>
      </w:r>
    </w:p>
    <w:p>
      <w:pPr/>
      <w:r>
        <w:rPr/>
        <w:t xml:space="preserve">Причина 2 - Валютні кризи</w:t>
      </w:r>
    </w:p>
    <w:p>
      <w:pPr/>
      <w:r>
        <w:rPr/>
        <w:t xml:space="preserve">Причина 3 - Нерозвинений фінансовий ринок</w:t>
      </w:r>
    </w:p>
    <w:p>
      <w:pPr/>
      <w:r>
        <w:rPr/>
        <w:t xml:space="preserve">Причина 4 - Високий рівень “непрацюючих кредитів” (NPLs), який зумовив високі пруденційні резерви і як наслідок “замороження” капіталу</w:t>
      </w:r>
    </w:p>
    <w:p>
      <w:pPr/>
      <w:r>
        <w:rPr/>
        <w:t xml:space="preserve">Причина 5 - Висока інфляція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Суттєве зниження відсоткової ставки за кредитами, наданими в гривні</w:t>
      </w:r>
    </w:p>
    <w:p>
      <w:pPr>
        <w:numPr>
          <w:ilvl w:val="0"/>
          <w:numId w:val="1"/>
        </w:numPr>
      </w:pPr>
      <w:r>
        <w:rPr/>
        <w:t xml:space="preserve">Зростання кредитування бізнесу через розширену лінійку інструментів (відношення кредитів до ВВП)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Комплексна програма розвитку фінансового сектору України до 2020 року;</w:t>
      </w:r>
    </w:p>
    <w:p>
      <w:pPr/>
      <w:r>
        <w:rPr/>
        <w:t xml:space="preserve">Оновлені Засади стратегічного реформування державного банківського сектору;</w:t>
      </w:r>
    </w:p>
    <w:p>
      <w:pPr/>
      <w:r>
        <w:rPr/>
        <w:t xml:space="preserve">Меморандум між Кабінетом Міністрів України та Національним банком України про взаємодію з метою досягнення цінової стабільності та стійкого економічного зростання;</w:t>
      </w:r>
    </w:p>
    <w:p>
      <w:pPr/>
      <w:r>
        <w:rPr/>
        <w:t xml:space="preserve">Проєкт Стратегії розвитку фінансового сектору України до 2025 року, який знаходиться на стадії завершення підготовки та підписання;</w:t>
      </w:r>
    </w:p>
    <w:p>
      <w:pPr/>
      <w:r>
        <w:rPr/>
        <w:t xml:space="preserve">Концепція партнерства Світового банку з Україною на 2017 – 2021 фінансові роки;</w:t>
      </w:r>
    </w:p>
    <w:p>
      <w:pPr/>
      <w:r>
        <w:rPr/>
        <w:t xml:space="preserve">Стратегія діяльності ЄБРР в Україні на 2018 – 2023 роки;</w:t>
      </w:r>
    </w:p>
    <w:p>
      <w:pPr/>
      <w:r>
        <w:rPr/>
        <w:t xml:space="preserve">Концепція співпраці з МФО.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“Створення макроекономічних умов для зниження відсоткової ставки”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Середні процентні ставки за кредитами у гривні до попереднього року зменшуються щонайменше на 3 п.п.</w:t>
      </w:r>
    </w:p>
    <w:p>
      <w:pPr>
        <w:numPr>
          <w:ilvl w:val="0"/>
          <w:numId w:val="1"/>
        </w:numPr>
      </w:pPr>
      <w:r>
        <w:rPr/>
        <w:t xml:space="preserve">Зростання відношення кредитів (фізичним і юридичним особам) до ВВП не менше 40% на 01.01.2025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Сприяння банківському кредитуванню економіки в цілому шляхом створення умов для зменшення вартості кредитних ресурсів та зниження рівня ризиків для кредиторів</w:t>
      </w:r>
    </w:p>
    <w:p>
      <w:pPr>
        <w:numPr>
          <w:ilvl w:val="0"/>
          <w:numId w:val="1"/>
        </w:numPr>
      </w:pPr>
      <w:r>
        <w:rPr/>
        <w:t xml:space="preserve">Розроблення та впровадження інструментів підтримки малого та середнього бізнесу, в тому числі через механізм гарантування кредитів</w:t>
      </w:r>
    </w:p>
    <w:p>
      <w:pPr/>
      <w:r>
        <w:rPr>
          <w:b w:val="1"/>
          <w:bCs w:val="1"/>
        </w:rPr>
        <w:t xml:space="preserve">2.2. Підціль 2 “Ефективне управління банками державного сектору для підвищення стабільності та інвестиційної привабливості”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Зниження частки держави до рівня 20% в банківському секторі (2022 рік)</w:t>
      </w:r>
    </w:p>
    <w:p>
      <w:pPr>
        <w:numPr>
          <w:ilvl w:val="0"/>
          <w:numId w:val="1"/>
        </w:numPr>
      </w:pPr>
      <w:r>
        <w:rPr/>
        <w:t xml:space="preserve">Досягнення стабільності (співвідношення капіталу до активів) та прибутковості (ROE) на рівні ринкових показників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Імплементація стратегій банків державного сектору з метою збільшення їх економічної цінності, щоб компенсувати кошти платників податків, що були інвестовані в ці банки в минулому</w:t>
      </w:r>
    </w:p>
    <w:p>
      <w:pPr>
        <w:numPr>
          <w:ilvl w:val="0"/>
          <w:numId w:val="1"/>
        </w:numPr>
      </w:pPr>
      <w:r>
        <w:rPr/>
        <w:t xml:space="preserve">Забезпечення ефективного корпоративного управління в банках державного сектору та ефективної взаємодії між банками та акціонером (гарантуючи при цьому комерційну незалежність банку)</w:t>
      </w:r>
    </w:p>
    <w:p>
      <w:pPr>
        <w:numPr>
          <w:ilvl w:val="0"/>
          <w:numId w:val="1"/>
        </w:numPr>
      </w:pPr>
      <w:r>
        <w:rPr/>
        <w:t xml:space="preserve">Співпраця з наглядовими радами банків державного сектору щодо вирішення проблеми «непрацюючих кредитів» та зменшення їх частки в кредитних портфелях банків</w:t>
      </w:r>
    </w:p>
    <w:p>
      <w:pPr/>
      <w:r>
        <w:rPr>
          <w:b w:val="1"/>
          <w:bCs w:val="1"/>
        </w:rPr>
        <w:t xml:space="preserve">2.3. Підціль 3 “Забезпечення ефективної та прозорої співпраці з міжнародними фінансовими організаціями”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Збільшення середнього рівня вибірки доступних коштів МФО на 10 п.п. в порівнянні з попереднім роком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Залучення довгострокового пільгового фінансування та розбудова нових партнерських відносин з іноземними партнерами</w:t>
      </w:r>
    </w:p>
    <w:p>
      <w:pPr>
        <w:numPr>
          <w:ilvl w:val="0"/>
          <w:numId w:val="1"/>
        </w:numPr>
      </w:pPr>
      <w:r>
        <w:rPr/>
        <w:t xml:space="preserve">Забезпечення першочергової підготовки проектів МФО в секторах, які визначені пріоритетними в національних стратегічних та програмних документах</w:t>
      </w:r>
    </w:p>
    <w:p>
      <w:pPr>
        <w:numPr>
          <w:ilvl w:val="0"/>
          <w:numId w:val="1"/>
        </w:numPr>
      </w:pPr>
      <w:r>
        <w:rPr/>
        <w:t xml:space="preserve">Зміцнення спроможності української сторони ефективно використовувати ресурси МФО (absorption capacity)</w:t>
      </w:r>
    </w:p>
    <w:p>
      <w:pPr>
        <w:numPr>
          <w:ilvl w:val="0"/>
          <w:numId w:val="1"/>
        </w:numPr>
      </w:pPr>
      <w:r>
        <w:rPr/>
        <w:t xml:space="preserve">Удосконалити систему моніторингу реалізації проектів МФО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1FF378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2020-02-10T10:29:35+02:00</dcterms:created>
  <dcterms:modified xsi:type="dcterms:W3CDTF">2020-02-10T10:29:35+02:00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