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6.5 «Витрати платників податків на обслуговування боргів зменшуються»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Значне навантаження на державний бюджет, пов’язане з платежами за державним боргом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Проблема стосується 100% населення країни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Здійснення державних запозичень для покриття дефіциту державного бюджету (тобто здійснення необхідних видатків) або вирішення інших наявних проблем в економіці країни призводить до зростання платежів за державним боргом, що відволікає значні кошти державного бюджету, які в іншому випадку могли би бути спрямовані на здійснення необхідних видатків, створюючи замкнуте коло (частка видатків з обслуговування державного боргу у загальних видатках державного бюджету за 2018 рік перевищила 11,7%)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Завдяки виваженій політиці Мінфіну відношення державного боргу до ВВП за останні роки скоротилось з 67,1% та 69,2% на кінець 2015 та 2016 років до 52,3% на кінець 2018 року, при цьому частка видатків з обслуговування державного боргу у загальних видатках державного бюджету скоротилась з 14,6% за 2015 рік до 11,7% за 2018 рік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Накопичення державного боргу внаслідок постійної дефіцитності державного бюджету України та вирішення інших проблем в державі за рахунок державних запозичень (капіталізація банків, державних підприємств та ФГВФО, покриття різниці в тарифах та відшкодування ПДВ тощо)</w:t>
      </w:r>
    </w:p>
    <w:p>
      <w:pPr/>
      <w:r>
        <w:rPr/>
        <w:t xml:space="preserve">Причина 2 - Протягом наступних років очікуються значні піки рефінансування державного боргу. Зокрема, загальні витрати з погашення та обслуговування державного боргу в 2019 році складають 483 млрд грн, а середній обсяг виплат за державним боргом в 2020-2022 роках очікується на рівні 485 млрд гривень. Основна частина цих платежів складається з погашення державного внутрішнього боргу як у національній валюті, так і в іноземних валютах</w:t>
      </w:r>
    </w:p>
    <w:p>
      <w:pPr/>
      <w:r>
        <w:rPr/>
        <w:t xml:space="preserve">Причина 3 - Вплив зміни обмінного курсу долара США на державний борг посилюється високим рівнем кореляції з обмінними курсами інших основних валют, в яких номіновано боргові зобов’язання України, таким чином підвищуючи валютний ризик державного боргу України</w:t>
      </w:r>
    </w:p>
    <w:p>
      <w:pPr/>
      <w:r>
        <w:rPr/>
        <w:t xml:space="preserve">Причина 4 - Макроекономічні ризики (ризик падіння темпів зростання реального ВВП, ризик зростання інфляції) та ризики, повʼязані із банківським сектором (ризик додаткових зобов’язань, що може виникнути в разі настання неплатоспроможності державними банками), можуть негативно позначитись на динаміці проблеми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Скорочення відношення державного боргу до ВВП до 40% на кінець 2024 року</w:t>
      </w:r>
    </w:p>
    <w:p>
      <w:pPr>
        <w:numPr>
          <w:ilvl w:val="0"/>
          <w:numId w:val="1"/>
        </w:numPr>
      </w:pPr>
      <w:r>
        <w:rPr/>
        <w:t xml:space="preserve">Зменшення вартості обслуговування державного боргу</w:t>
      </w:r>
    </w:p>
    <w:p>
      <w:pPr>
        <w:numPr>
          <w:ilvl w:val="0"/>
          <w:numId w:val="1"/>
        </w:numPr>
      </w:pPr>
      <w:r>
        <w:rPr/>
        <w:t xml:space="preserve">Зниження валютного ризику державного боргу шляхом збільшення частки державного боргу, номінованого в національній валюті, до кінця 2024 року до 50%</w:t>
      </w:r>
    </w:p>
    <w:p>
      <w:pPr>
        <w:numPr>
          <w:ilvl w:val="0"/>
          <w:numId w:val="1"/>
        </w:numPr>
      </w:pPr>
      <w:r>
        <w:rPr/>
        <w:t xml:space="preserve">Підняття кредитних рейтингів України до літер “А”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Обмеження рівня дефіциту державного бюджету та граничного обсягу надання державних гарантій (внесено відповідні зміни до Бюджетного кодексу України).</w:t>
      </w:r>
    </w:p>
    <w:p>
      <w:pPr/>
      <w:r>
        <w:rPr/>
        <w:t xml:space="preserve">Міжнародні зобов’язання – продовження фіскальної консолідації з метою постійного зменшення державного боргу, забезпечення боргової стійкості, спрямування перевиконання надходжень державного бюджету на зменшення державного боргу (Лист про наміри, МВФ).</w:t>
      </w:r>
    </w:p>
    <w:p>
      <w:pPr/>
      <w:r>
        <w:rPr/>
        <w:t xml:space="preserve">Схвалення Середньострокової стратегії управління державним боргом на 2019‑2022 роки, якою визначаються основні цілі управління державним боргом, зокрема, збільшення частки державного боргу у національній валюті; продовження середнього строку до погашення і забезпечення рівномірного графіка погашення державного боргу; залучення довгострокового пільгового фінансування; продовження розвитку міцних взаємовідносин з інвесторами та подальше удосконалення політики управління державним боргом.</w:t>
      </w:r>
    </w:p>
    <w:p>
      <w:pPr/>
      <w:r>
        <w:rPr/>
        <w:t xml:space="preserve">Внесення змін до Бюджетного кодексу України щодо створення Боргового агентства та впровадження агентської моделі управління державним та гарантованим державою боргом.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“Зменшення боргового навантаження”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Скорочення відношення державного боргу до ВВП до 40% на кінець 2024 року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Подальше скорочення дефіциту державного бюджету у Законах про державний бюджет</w:t>
      </w:r>
    </w:p>
    <w:p>
      <w:pPr>
        <w:numPr>
          <w:ilvl w:val="0"/>
          <w:numId w:val="1"/>
        </w:numPr>
      </w:pPr>
      <w:r>
        <w:rPr/>
        <w:t xml:space="preserve">Передбачення на середньострокову перспективу цілей та заходів, спрямованих на зменшення боргового навантаження, у Бюджетній декларації та Стратегії управління державним боргом</w:t>
      </w:r>
    </w:p>
    <w:p>
      <w:pPr/>
      <w:r>
        <w:rPr>
          <w:b w:val="1"/>
          <w:bCs w:val="1"/>
        </w:rPr>
        <w:t xml:space="preserve">2.2. Підціль 2 “Зменшення рівня валютного ризику державного боргу”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частки державного боргу, номінованого в національній валюті, до кінця 2024 року до 50%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Передбачення на середньострокову перспективу цілей та заходів, спрямованих на зменшення рівня валютного ризику, у Бюджетній декларації та Стратегії управління державним боргом</w:t>
      </w:r>
    </w:p>
    <w:p>
      <w:pPr>
        <w:numPr>
          <w:ilvl w:val="0"/>
          <w:numId w:val="1"/>
        </w:numPr>
      </w:pPr>
      <w:r>
        <w:rPr/>
        <w:t xml:space="preserve">Удосконалення системи моніторингу ризиків державного боргу</w:t>
      </w:r>
    </w:p>
    <w:p>
      <w:pPr/>
      <w:r>
        <w:rPr>
          <w:b w:val="1"/>
          <w:bCs w:val="1"/>
        </w:rPr>
        <w:t xml:space="preserve">2.3. Підціль 3 “Зменшення вартості обслуговування державного боргу”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Зменшення відношення обсягу платежів з обслуговування державного боргу до видатків державного бюджету до 10% на кінець 2024 року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Нормативно-правове забезпечення активних операцій з управління державним боргом на рівні підзаконних актів</w:t>
      </w:r>
    </w:p>
    <w:p>
      <w:pPr>
        <w:numPr>
          <w:ilvl w:val="0"/>
          <w:numId w:val="1"/>
        </w:numPr>
      </w:pPr>
      <w:r>
        <w:rPr/>
        <w:t xml:space="preserve">Нормативно-правове забезпечення утворення та діяльності боргового агентства</w:t>
      </w:r>
    </w:p>
    <w:p>
      <w:pPr>
        <w:numPr>
          <w:ilvl w:val="0"/>
          <w:numId w:val="1"/>
        </w:numPr>
      </w:pPr>
      <w:r>
        <w:rPr/>
        <w:t xml:space="preserve">Створення та забезпечення діяльності боргового агентства</w:t>
      </w:r>
    </w:p>
    <w:p>
      <w:pPr/>
      <w:r>
        <w:rPr>
          <w:b w:val="1"/>
          <w:bCs w:val="1"/>
        </w:rPr>
        <w:t xml:space="preserve">2.4. Підціль 4 “Розвиток внутрішнього ринку державних цінних паперів”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Первинні дилери виконують функцію маркет-мейкерів щодо ОВДП на вторинному ринку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Розвиток інституту первинних дилерів</w:t>
      </w:r>
    </w:p>
    <w:p>
      <w:pPr>
        <w:numPr>
          <w:ilvl w:val="0"/>
          <w:numId w:val="1"/>
        </w:numPr>
      </w:pPr>
      <w:r>
        <w:rPr/>
        <w:t xml:space="preserve">Підвищення ліквідності державних цінних паперів</w:t>
      </w:r>
    </w:p>
    <w:p>
      <w:pPr/>
      <w:r>
        <w:rPr>
          <w:b w:val="1"/>
          <w:bCs w:val="1"/>
        </w:rPr>
        <w:t xml:space="preserve">2.5. Підціль 5 “Покращення міжнародних рейтингів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Підняття кредитних рейтингів України до літер “А” на кінець 2024 року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Забезпечення прозорості та відкритості політики управління державним боргом</w:t>
      </w:r>
    </w:p>
    <w:p>
      <w:pPr>
        <w:numPr>
          <w:ilvl w:val="0"/>
          <w:numId w:val="1"/>
        </w:numPr>
      </w:pPr>
      <w:r>
        <w:rPr/>
        <w:t xml:space="preserve">Покращення комунікацій з інвесторами</w:t>
      </w:r>
    </w:p>
    <w:p>
      <w:pPr>
        <w:numPr>
          <w:ilvl w:val="0"/>
          <w:numId w:val="1"/>
        </w:numPr>
      </w:pPr>
      <w:r>
        <w:rPr/>
        <w:t xml:space="preserve">Забезпечення співпраці з рейтинговими агенціями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боргового навантаження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Подальше скорочення дефіциту державного бюджету у Законах про державний бюджет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відповідних пропозицій до проектів законів про державний бюджет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15-09-2024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Передбачення на середньострокову перспективу цілей та заходів, спрямованих на зменшення боргового навантаження, у Бюджетній декларації та Стратегії управління державним боргом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відповідних пропозицій до проектів Бюджетної декларації та розроблення проектів Середньострокової стратегії управління державним боргом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рівня валютного ризику державного боргу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Передбачення на середньострокову перспективу цілей та заходів, спрямованих на зменшення рівня валютного ризику, у Бюджетній декларації та Стратегії управління державним боргом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відповідних пропозицій до проектів Бюджетної декларації та розроблення проектів Середньострокової стратегії управління державним боргом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15-05-2020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системи моніторингу ризиків державного боргу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методики МВФ щодо аналізу стійкості боргу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вартості обслуговування державного боргу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забезпечення активних операцій з управління державним боргом на рівні підзаконних актів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нормативно-правове забезпечення  здійснення активних операцій з державним боргом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відпрацювання технічних можливостей торгівельних систем здійснення активних операцій з управління державним боргом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 НБУ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забезпечення утворення та діяльності боргового агентства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Положення про Боргове агентство та внесення необхідних змін до чинного законодавства у зв’язку зі створенням агентства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та забезпечення діяльності боргового агентства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розроблення вимог до посад працівників агентства та проведення відповідного конкурсу на посаду голови Агентства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НАДС;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реєстрація юридичної особи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Голова Агентства; Мінфін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внутрішнього ринку державних цінних паперів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інституту первинних дилерів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удосконалення функціонування інституту первинних дилерів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організаційне забезпечення здійснення первинними дилерами функції маркет-мейкерів щодо ОВДП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 НКЦПФР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ліквідності державних цінних паперів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використання міжнародних електронних торговельних систем для розміщення ОВДП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зменшення кількості ОВДП в обігу з одночасним збільшенням їх обсягів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3) оптимізація структури державних боргових інструментів в гривні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Покращення міжнародних рейтингів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прозорості та відкритості політики управління державним боргом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регулярне розміщення інформації щодо стану державного боргу та гарантованого державою боргу, державних запозичень та інших операцій з управління державним боргом на офіційному веб-сайті Мінфіну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проведення прес-конференцій, інтерв’ю та забезпечення відповідних роз’яснень з питань управління державним боргом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3) розміщення публікацій інформаційно-просвітницького характеру з питань державного боргу у ЗМІ, включаючи електронні ресурси та соціальні мережі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Покращення комунікацій з інвесторами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1) забезпечення актуальної інформації щодо управління державним боргом на веб-сайті Мінфіну, в тому числі англійською мовою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2) проведення конференц-дзвінків та роад-шоу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співпраці з рейтинговими агенціями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матеріалів на запити рейтингових агентств, організація щорічних візитів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DF5247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2020-02-10T10:29:33+02:00</dcterms:created>
  <dcterms:modified xsi:type="dcterms:W3CDTF">2020-02-10T10:29:33+02:00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