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«Українці та добросовісний бізнес захищені від фінансового шахрайства»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Для громадян України та суб’єктів господарської діяльності  - сумлінних платників податків критично необхідними є забезпечення державою ефективної протидії фінансовим злочинам та зниження рівня шкоди завданої ними</w:t>
      </w:r>
    </w:p>
    <w:p>
      <w:pPr/>
      <w:r>
        <w:rPr>
          <w:b w:val="1"/>
          <w:bCs w:val="1"/>
        </w:rPr>
        <w:t xml:space="preserve">1.2. Носій проблеми </w:t>
      </w:r>
    </w:p>
    <w:p>
      <w:pPr/>
      <w:r>
        <w:rPr/>
        <w:t xml:space="preserve">Платники податків України: юридичні особи та фізичні особи – платники податків</w:t>
      </w:r>
    </w:p>
    <w:p>
      <w:pPr/>
      <w:r>
        <w:rPr>
          <w:b w:val="1"/>
          <w:bCs w:val="1"/>
        </w:rPr>
        <w:t xml:space="preserve">1.3. Масштаб проблеми: Загальнонаціональна</w:t>
      </w:r>
    </w:p>
    <w:p>
      <w:pPr/>
      <w:r>
        <w:rPr/>
        <w:t xml:space="preserve">Питання ефективної протидії фінансовим злочинам та зниження рівня шкоди завданої ними є загальнонаціональним, оскільки забезпечення ефективного функціонування інститутів, які гарантуватимуть верховенство права, додержання прав та інтересів фізичних та юридичних осіб, їх ефективний захист, встановлюються для всіх платників податків на загальнодержавному рівні.</w:t>
      </w:r>
    </w:p>
    <w:p>
      <w:pPr/>
      <w:r>
        <w:rPr/>
        <w:t xml:space="preserve">Платники податків: 1,4 млн. юридичних осіб, в т.ч. 2 594 – великі платники податків; 1,94 млн. – фізичних осіб – підприємців; 44,48 млн. - фізичних осіб.</w:t>
      </w:r>
    </w:p>
    <w:p>
      <w:pPr/>
      <w:r>
        <w:rPr>
          <w:b w:val="1"/>
          <w:bCs w:val="1"/>
        </w:rPr>
        <w:t xml:space="preserve">1.4. Гострота проблеми: Гостра</w:t>
      </w:r>
    </w:p>
    <w:p>
      <w:pPr/>
      <w:r>
        <w:rPr/>
        <w:t xml:space="preserve">Гострота проблеми щодо ефективної протидії фінансовим злочинам та зниження рівня шкоди завданої ними є гострою для всіх категорій платників податків. На даний момент гостро стоїть питання зниження рівня фінансового шахрайства, унеможливлення діяльності конвертаційних центрів та центрів мінімізації, інших інструментів ухилення від сплати податків. Також, необхідними є зміни у сфері фінансового моніторингу з метою забезпечення деофшоризації та ризик-орієнтованого підходу до попередження зловживань. Враховуючи триваючу процедуру ліквідації ДФС, недостатньо ефективну роботи органів податкової міліції, нагальною необхідністю є розділення сервісної та правоохоронної функцій податкової служби, ліквідація податкової міліції, оптимізація структури та чисельності органів, які ведуть боротьбу зі злочинами у сфері фінансів, усунення дублювання їх функцій та створення Бюро фінансових розслідувань.</w:t>
      </w:r>
    </w:p>
    <w:p>
      <w:pPr/>
      <w:r>
        <w:rPr>
          <w:b w:val="1"/>
          <w:bCs w:val="1"/>
        </w:rPr>
        <w:t xml:space="preserve">1.5. Динаміка проблеми:  Нейтральна</w:t>
      </w:r>
    </w:p>
    <w:p>
      <w:pPr/>
      <w:r>
        <w:rPr/>
        <w:t xml:space="preserve">Рівень тінізації економіки України у 2019 році за різними оцінками складає від 30 до 40 відсотків ВВП. За останні 5 років він дещо зменшився з 40 - 50 відсотків у 2014 році, але залишається загрозливо високим. Відсутність дієвого механізму протидії фінансовим злочинам з одного боку, прояви надмірного тиску на сумлінних платників податків з іншого, дублювання функцій органів, які ведуть боротьбу зі злочинами у сфері фінансів, створюють низку постійно зростаючих корупційних ризиків, що в свою чергу негативно  позначається на захисті українців та добросовісного бізнесу від фінансового шахрайства.</w:t>
      </w:r>
    </w:p>
    <w:p>
      <w:pPr/>
      <w:r>
        <w:rPr>
          <w:b w:val="1"/>
          <w:bCs w:val="1"/>
        </w:rPr>
        <w:t xml:space="preserve">1.6. Причини проблеми</w:t>
      </w:r>
    </w:p>
    <w:p>
      <w:pPr/>
      <w:r>
        <w:rPr/>
        <w:t xml:space="preserve">Причина 1 - Знаходження значної частини бізнесу в тіні</w:t>
      </w:r>
    </w:p>
    <w:p>
      <w:pPr/>
      <w:r>
        <w:rPr/>
        <w:t xml:space="preserve">Причина 2 - Недостатньо ефективна боротьба держави з податковим шахрайством</w:t>
      </w:r>
    </w:p>
    <w:p>
      <w:pPr/>
      <w:r>
        <w:rPr>
          <w:b w:val="1"/>
          <w:bCs w:val="1"/>
        </w:rPr>
        <w:t xml:space="preserve">1.7. Показники ефективності політики</w:t>
      </w:r>
    </w:p>
    <w:p>
      <w:pPr>
        <w:numPr>
          <w:ilvl w:val="0"/>
          <w:numId w:val="1"/>
        </w:numPr>
      </w:pPr>
      <w:r>
        <w:rPr/>
        <w:t xml:space="preserve">Зниження рівня шкоди, завданої фінансовими злочинами</w:t>
      </w:r>
    </w:p>
    <w:p>
      <w:pPr/>
      <w:r>
        <w:rPr>
          <w:b w:val="1"/>
          <w:bCs w:val="1"/>
        </w:rPr>
        <w:t xml:space="preserve">1.8. Опис чинної державної політики щодо вирішення проблеми / її причин.</w:t>
      </w:r>
    </w:p>
    <w:p>
      <w:pPr/>
      <w:r>
        <w:rPr/>
        <w:t xml:space="preserve">Розбудова Нової Державної Податкової Служби на концептуально нових принципах взаємодії з платниками податків;</w:t>
      </w:r>
    </w:p>
    <w:p>
      <w:pPr/>
      <w:r>
        <w:rPr/>
        <w:t xml:space="preserve">Продовження здійснення своїх повноважень та виконання функцій підрозділами податкової міліції у складі Державної фіскальної служби відповідно до постанови Кабінету міністрів України № 846 від 25 вересня 2019.</w:t>
      </w:r>
    </w:p>
    <w:p>
      <w:pPr/>
      <w:r>
        <w:rPr/>
        <w:t xml:space="preserve">Прийняття законодавства по імплементації плану BEPS, в тому числі угоди MLI та автоматичного обміну інформацією.</w:t>
      </w:r>
    </w:p>
    <w:p>
      <w:pPr/>
      <w:r>
        <w:rPr>
          <w:b w:val="1"/>
          <w:bCs w:val="1"/>
        </w:rPr>
        <w:t xml:space="preserve">2.	ПРОПОНОВАНИЙ КУРС ПОЛІТИКИ</w:t>
      </w:r>
    </w:p>
    <w:p>
      <w:pPr/>
      <w:r>
        <w:rPr>
          <w:b w:val="1"/>
          <w:bCs w:val="1"/>
        </w:rPr>
        <w:t xml:space="preserve">2.1. Підціль 1 “Максимальне виведення бізнесу з тіні”</w:t>
      </w:r>
    </w:p>
    <w:p>
      <w:pPr/>
      <w:r>
        <w:rPr>
          <w:b w:val="1"/>
          <w:bCs w:val="1"/>
        </w:rPr>
        <w:t xml:space="preserve">Показники результативності: </w:t>
      </w:r>
    </w:p>
    <w:p>
      <w:pPr>
        <w:numPr>
          <w:ilvl w:val="0"/>
          <w:numId w:val="1"/>
        </w:numPr>
      </w:pPr>
      <w:r>
        <w:rPr/>
        <w:t xml:space="preserve">Розширення бази оподаткування за рахунок детінізації прихованих активів по основним податкам на 25%</w:t>
      </w:r>
    </w:p>
    <w:p>
      <w:pPr/>
      <w:r>
        <w:rPr>
          <w:b w:val="1"/>
          <w:bCs w:val="1"/>
        </w:rPr>
        <w:t xml:space="preserve">Завдання до підцілі 1: </w:t>
      </w:r>
    </w:p>
    <w:p>
      <w:pPr>
        <w:numPr>
          <w:ilvl w:val="0"/>
          <w:numId w:val="1"/>
        </w:numPr>
      </w:pPr>
      <w:r>
        <w:rPr/>
        <w:t xml:space="preserve">1.	Запровадження ризик-орієнтованого підходу з боку податкових органів при роботі з платниками податків</w:t>
      </w:r>
    </w:p>
    <w:p>
      <w:pPr>
        <w:numPr>
          <w:ilvl w:val="0"/>
          <w:numId w:val="1"/>
        </w:numPr>
      </w:pPr>
      <w:r>
        <w:rPr/>
        <w:t xml:space="preserve">2.	Фіскалізація господарських операцій в т.ч. шляхом розширення сфери застосування РРО</w:t>
      </w:r>
    </w:p>
    <w:p>
      <w:pPr>
        <w:numPr>
          <w:ilvl w:val="0"/>
          <w:numId w:val="1"/>
        </w:numPr>
      </w:pPr>
      <w:r>
        <w:rPr/>
        <w:t xml:space="preserve">3.	Імплементація законодавства щодо кеш-беків для покупців за повідомлення контролюючих органів про невидачу фіскального чека продавцем</w:t>
      </w:r>
    </w:p>
    <w:p>
      <w:pPr>
        <w:numPr>
          <w:ilvl w:val="0"/>
          <w:numId w:val="1"/>
        </w:numPr>
      </w:pPr>
      <w:r>
        <w:rPr/>
        <w:t xml:space="preserve">4.	Запровадження електронної акцизної марки та автоматизованої системи контролю за обігом тютюнових виробів і алкогольних напоїв</w:t>
      </w:r>
    </w:p>
    <w:p>
      <w:pPr>
        <w:numPr>
          <w:ilvl w:val="0"/>
          <w:numId w:val="1"/>
        </w:numPr>
      </w:pPr>
      <w:r>
        <w:rPr/>
        <w:t xml:space="preserve">5.	Проведення компанії одноразового “нульового” декларування активів фізичних осіб з подальшим запровадженням непрямих методів за відповідністю доходів і витрат громадян</w:t>
      </w:r>
    </w:p>
    <w:p>
      <w:pPr>
        <w:numPr>
          <w:ilvl w:val="0"/>
          <w:numId w:val="1"/>
        </w:numPr>
      </w:pPr>
      <w:r>
        <w:rPr/>
        <w:t xml:space="preserve">6.	Зміна підходів в оподаткуванні предметів розкоші, дотримання принципів соціальної справедливості та загальності оподаткування</w:t>
      </w:r>
    </w:p>
    <w:p>
      <w:pPr>
        <w:numPr>
          <w:ilvl w:val="0"/>
          <w:numId w:val="1"/>
        </w:numPr>
      </w:pPr>
      <w:r>
        <w:rPr/>
        <w:t xml:space="preserve">7.	Підвищення ефективності справляння податку на нерухоме майно, відмінне від земельної ділянки</w:t>
      </w:r>
    </w:p>
    <w:p>
      <w:pPr>
        <w:numPr>
          <w:ilvl w:val="0"/>
          <w:numId w:val="1"/>
        </w:numPr>
      </w:pPr>
      <w:r>
        <w:rPr/>
        <w:t xml:space="preserve">8.	Розроблення та впровадження стратегії стимулювання добровільного дотримання податкової дисципліни (добровільної сплати податків) з урахуванням специфіки груп та категорій платників податків</w:t>
      </w:r>
    </w:p>
    <w:p>
      <w:pPr/>
      <w:r>
        <w:rPr>
          <w:b w:val="1"/>
          <w:bCs w:val="1"/>
        </w:rPr>
        <w:t xml:space="preserve">2.2. Підціль 2 “Ефективна боротьба держави з податковим шахрайством”</w:t>
      </w:r>
    </w:p>
    <w:p>
      <w:pPr/>
      <w:r>
        <w:rPr>
          <w:b w:val="1"/>
          <w:bCs w:val="1"/>
        </w:rPr>
        <w:t xml:space="preserve">Показники результативності: </w:t>
      </w:r>
    </w:p>
    <w:p>
      <w:pPr>
        <w:numPr>
          <w:ilvl w:val="0"/>
          <w:numId w:val="1"/>
        </w:numPr>
      </w:pPr>
      <w:r>
        <w:rPr/>
        <w:t xml:space="preserve">Розширення бази оподаткування за рахунок детінізації прихованих активів по основним податкам на 25%</w:t>
      </w:r>
    </w:p>
    <w:p>
      <w:pPr/>
      <w:r>
        <w:rPr>
          <w:b w:val="1"/>
          <w:bCs w:val="1"/>
        </w:rPr>
        <w:t xml:space="preserve">Завдання до підцілі 2: </w:t>
      </w:r>
    </w:p>
    <w:p>
      <w:pPr>
        <w:numPr>
          <w:ilvl w:val="0"/>
          <w:numId w:val="1"/>
        </w:numPr>
      </w:pPr>
      <w:r>
        <w:rPr/>
        <w:t xml:space="preserve">1.	Збільшення аналітичної складової в роботі ДПС</w:t>
      </w:r>
    </w:p>
    <w:p>
      <w:pPr>
        <w:numPr>
          <w:ilvl w:val="0"/>
          <w:numId w:val="1"/>
        </w:numPr>
      </w:pPr>
      <w:r>
        <w:rPr/>
        <w:t xml:space="preserve">2.	Активна боротьба з конвертаційними центрами та центрами мінімізації</w:t>
      </w:r>
    </w:p>
    <w:p>
      <w:pPr>
        <w:numPr>
          <w:ilvl w:val="0"/>
          <w:numId w:val="1"/>
        </w:numPr>
      </w:pPr>
      <w:r>
        <w:rPr/>
        <w:t xml:space="preserve">3.	Посилення протидії відмиванню доходів, одержаних злочинним шляхом</w:t>
      </w:r>
    </w:p>
    <w:p>
      <w:pPr>
        <w:numPr>
          <w:ilvl w:val="0"/>
          <w:numId w:val="1"/>
        </w:numPr>
      </w:pPr>
      <w:r>
        <w:rPr/>
        <w:t xml:space="preserve">4.	Створення Бюро фінансових розслідувань</w:t>
      </w:r>
    </w:p>
    <w:p>
      <w:pPr>
        <w:numPr>
          <w:ilvl w:val="0"/>
          <w:numId w:val="1"/>
        </w:numPr>
      </w:pPr>
      <w:r>
        <w:rPr/>
        <w:t xml:space="preserve">5.	Ліквідація податкової міліції, усунення дублювання функцій, пов’язаних з боротьбою із злочинами у сфері фінансів, податкової міліції, правоохоронних органів та Бюро фінансових розслідувань</w:t>
      </w:r>
    </w:p>
    <w:p>
      <w:pPr>
        <w:numPr>
          <w:ilvl w:val="0"/>
          <w:numId w:val="1"/>
        </w:numPr>
      </w:pPr>
      <w:r>
        <w:rPr/>
        <w:t xml:space="preserve">6.	Розширення співпраці з європейськими органами протидії фінансово-економічним правопорушенням</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Максимальне виведення бізнесу з тіні</w:t>
            </w:r>
          </w:p>
        </w:tc>
        <w:tc>
          <w:tcPr>
            <w:vAlign w:val="center"/>
            <w:vMerge w:val="restart"/>
          </w:tcPr>
          <w:p>
            <w:pPr>
              <w:jc w:val="center"/>
            </w:pPr>
            <w:r>
              <w:rPr>
                <w:sz w:val="20"/>
                <w:szCs w:val="20"/>
              </w:rPr>
              <w:t xml:space="preserve">1.	Запровадження ризик-орієнтованого підходу з боку податкових органів при роботі з платниками податків</w:t>
            </w:r>
          </w:p>
        </w:tc>
        <w:tc>
          <w:tcPr>
            <w:vAlign w:val="center"/>
          </w:tcPr>
          <w:p>
            <w:pPr>
              <w:jc w:val="center"/>
            </w:pPr>
            <w:r>
              <w:rPr>
                <w:sz w:val="20"/>
                <w:szCs w:val="20"/>
              </w:rPr>
              <w:t xml:space="preserve">Розробка нормативно-правової бази, Розробка необхідного програмного забезпечення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2.	Фіскалізація господарських операцій в т.ч. шляхом розширення сфери застосування РРО</w:t>
            </w:r>
          </w:p>
        </w:tc>
        <w:tc>
          <w:tcPr>
            <w:vAlign w:val="center"/>
          </w:tcPr>
          <w:p>
            <w:pPr>
              <w:jc w:val="center"/>
            </w:pPr>
            <w:r>
              <w:rPr>
                <w:sz w:val="20"/>
                <w:szCs w:val="20"/>
              </w:rPr>
              <w:t xml:space="preserve">Розробити нормативно-правові акти, які регулюють порядок застосування РРО та потребують внесення змін. Розробити та подати Кабінетові Міністрів законопроект щодо створення сприятливих умов для діяльності підприємців, зокрема запровадження дворічного мораторію на проведення перевірок фізичних осіб - підприємців (крім тих, які здійснюють високорентабельні види діяльності з істотними ризиками ухилення від оподаткування) стосовно дотримання ними порядку застосування реєстраторів розрахункових операцій; а також законопроект щодо пом'якшення відповідальності фізичних осіб - підприємців за порушення встановленого порядку подання до контролюючих органів звітності, пов'язаної із застосуванням реєстраторів розрахункових операцій, з урахуванням завдань, визначених Указом Президента України від 17 жовтня 2019 р. № 761 "Про невідкладні заходи щодо забезпечення сприятливих умов для діяльності фізичних осіб-підприємців"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3.	Імплементація законодавства щодо кеш-беків для покупців за повідомлення контролюючих органів про невидачу фіскального чека продавцем</w:t>
            </w:r>
          </w:p>
        </w:tc>
        <w:tc>
          <w:tcPr>
            <w:vAlign w:val="center"/>
          </w:tcPr>
          <w:p>
            <w:pPr>
              <w:jc w:val="center"/>
            </w:pPr>
            <w:r>
              <w:rPr>
                <w:sz w:val="20"/>
                <w:szCs w:val="20"/>
              </w:rPr>
              <w:t xml:space="preserve">Розробити нормативно-правові акти, які регулюють порядок реалізації положення про кеш-беки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01-01-2021</w:t>
            </w:r>
          </w:p>
        </w:tc>
        <w:tc>
          <w:tcPr>
            <w:vAlign w:val="center"/>
          </w:tcPr>
          <w:p>
            <w:pPr>
              <w:jc w:val="center"/>
            </w:pPr>
            <w:r>
              <w:rPr>
                <w:sz w:val="20"/>
                <w:szCs w:val="20"/>
              </w:rPr>
              <w:t xml:space="preserve">Мінфін, ДПС </w:t>
            </w:r>
          </w:p>
        </w:tc>
      </w:tr>
      <w:tr>
        <w:trPr/>
        <w:tc>
          <w:tcPr>
            <w:vMerge w:val="continue"/>
          </w:tcPr>
          <w:p/>
        </w:tc>
        <w:tc>
          <w:tcPr>
            <w:vAlign w:val="center"/>
            <w:vMerge w:val="restart"/>
          </w:tcPr>
          <w:p>
            <w:pPr>
              <w:jc w:val="center"/>
            </w:pPr>
            <w:r>
              <w:rPr>
                <w:sz w:val="20"/>
                <w:szCs w:val="20"/>
              </w:rPr>
              <w:t xml:space="preserve">4.	Запровадження електронної акцизної марки та автоматизованої системи контролю за обігом тютюнових виробів і алкогольних напоїв</w:t>
            </w:r>
          </w:p>
        </w:tc>
        <w:tc>
          <w:tcPr>
            <w:vAlign w:val="center"/>
          </w:tcPr>
          <w:p>
            <w:pPr>
              <w:jc w:val="center"/>
            </w:pPr>
            <w:r>
              <w:rPr>
                <w:sz w:val="20"/>
                <w:szCs w:val="20"/>
              </w:rPr>
              <w:t xml:space="preserve">1) Розробка нормативно-правових актів, що забезпечують реалізацію track&amp;amp;trace в Україні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ДПС </w:t>
            </w:r>
          </w:p>
        </w:tc>
      </w:tr>
      <w:tr>
        <w:trPr/>
        <w:tc>
          <w:tcPr>
            <w:vMerge w:val="continue"/>
          </w:tcPr>
          <w:p/>
        </w:tc>
        <w:tc>
          <w:tcPr>
            <w:vMerge w:val="continue"/>
          </w:tcPr>
          <w:p/>
        </w:tc>
        <w:tc>
          <w:tcPr>
            <w:vAlign w:val="center"/>
          </w:tcPr>
          <w:p>
            <w:pPr>
              <w:jc w:val="center"/>
            </w:pPr>
            <w:r>
              <w:rPr>
                <w:sz w:val="20"/>
                <w:szCs w:val="20"/>
              </w:rPr>
              <w:t xml:space="preserve">2) посилення контрольно-перевірочної роботи у відношенні платників податків, що задіяні в ланцюгу виробництва та реалізації тютюнових і алкогольних виробів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Мінфін, ДПС, ДФС, Податкова міліція</w:t>
            </w:r>
          </w:p>
        </w:tc>
      </w:tr>
      <w:tr>
        <w:trPr/>
        <w:tc>
          <w:tcPr>
            <w:vMerge w:val="continue"/>
          </w:tcPr>
          <w:p/>
        </w:tc>
        <w:tc>
          <w:tcPr>
            <w:vAlign w:val="center"/>
            <w:vMerge w:val="restart"/>
          </w:tcPr>
          <w:p>
            <w:pPr>
              <w:jc w:val="center"/>
            </w:pPr>
            <w:r>
              <w:rPr>
                <w:sz w:val="20"/>
                <w:szCs w:val="20"/>
              </w:rPr>
              <w:t xml:space="preserve">5.	Проведення компанії одноразового “нульового” декларування активів фізичних осіб з подальшим запровадженням непрямих методів за відповідністю доходів і витрат громадян</w:t>
            </w:r>
          </w:p>
        </w:tc>
        <w:tc>
          <w:tcPr>
            <w:vAlign w:val="center"/>
          </w:tcPr>
          <w:p>
            <w:pPr>
              <w:jc w:val="center"/>
            </w:pPr>
            <w:r>
              <w:rPr>
                <w:sz w:val="20"/>
                <w:szCs w:val="20"/>
              </w:rPr>
              <w:t xml:space="preserve">Розробка проекту Закону, що регулює порядок проведення одноразового “нульового” декларування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6.	Зміна підходів в оподаткуванні предметів розкоші, дотримання принципів соціальної справедливості та загальності оподаткування</w:t>
            </w:r>
          </w:p>
        </w:tc>
        <w:tc>
          <w:tcPr>
            <w:vAlign w:val="center"/>
          </w:tcPr>
          <w:p>
            <w:pPr>
              <w:jc w:val="center"/>
            </w:pPr>
            <w:r>
              <w:rPr>
                <w:sz w:val="20"/>
                <w:szCs w:val="20"/>
              </w:rPr>
              <w:t xml:space="preserve">Розробка проекту Закону щодо внесення змін до Податкового кодексу в частині оподаткування предметів розкоші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7.	Підвищення ефективності справляння податку на нерухоме майно, відмінне від земельної ділянки</w:t>
            </w:r>
          </w:p>
        </w:tc>
        <w:tc>
          <w:tcPr>
            <w:vAlign w:val="center"/>
          </w:tcPr>
          <w:p>
            <w:pPr>
              <w:jc w:val="center"/>
            </w:pPr>
            <w:r>
              <w:rPr>
                <w:sz w:val="20"/>
                <w:szCs w:val="20"/>
              </w:rPr>
              <w:t xml:space="preserve">Розробити заходи щодо розширення кількості об’єктів, які підлягають оподаткуванню податком на нерухоме майно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8.	Розроблення та впровадження стратегії стимулювання добровільного дотримання податкової дисципліни (добровільної сплати податків) з урахуванням специфіки груп та категорій платників податків</w:t>
            </w:r>
          </w:p>
        </w:tc>
        <w:tc>
          <w:tcPr>
            <w:vAlign w:val="center"/>
          </w:tcPr>
          <w:p>
            <w:pPr>
              <w:jc w:val="center"/>
            </w:pPr>
            <w:r>
              <w:rPr>
                <w:sz w:val="20"/>
                <w:szCs w:val="20"/>
              </w:rPr>
              <w:t xml:space="preserve">Розробити заходи щодо стимулювання стимулювання добровільного дотримання податкової дисципліни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ДПС </w:t>
            </w:r>
          </w:p>
        </w:tc>
      </w:tr>
      <w:tr>
        <w:trPr/>
        <w:tc>
          <w:tcPr>
            <w:vAlign w:val="center"/>
            <w:vMerge w:val="restart"/>
          </w:tcPr>
          <w:p>
            <w:pPr>
              <w:jc w:val="center"/>
            </w:pPr>
            <w:r>
              <w:rPr>
                <w:sz w:val="20"/>
                <w:szCs w:val="20"/>
              </w:rPr>
              <w:t xml:space="preserve">Ефективна боротьба держави з податковим шахрайством</w:t>
            </w:r>
          </w:p>
        </w:tc>
        <w:tc>
          <w:tcPr>
            <w:vAlign w:val="center"/>
            <w:vMerge w:val="restart"/>
          </w:tcPr>
          <w:p>
            <w:pPr>
              <w:jc w:val="center"/>
            </w:pPr>
            <w:r>
              <w:rPr>
                <w:sz w:val="20"/>
                <w:szCs w:val="20"/>
              </w:rPr>
              <w:t xml:space="preserve">1.	Збільшення аналітичної складової в роботі ДПС</w:t>
            </w:r>
          </w:p>
        </w:tc>
        <w:tc>
          <w:tcPr>
            <w:vAlign w:val="center"/>
          </w:tcPr>
          <w:p>
            <w:pPr>
              <w:jc w:val="center"/>
            </w:pPr>
            <w:r>
              <w:rPr>
                <w:sz w:val="20"/>
                <w:szCs w:val="20"/>
              </w:rPr>
              <w:t xml:space="preserve">Розробити та затвердити відповідними наказами алгоритм дій органів ДПС  по адмініструванню податків та зборів, та впровадити ефективний контроль за обігом підакцизних товарів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2.	Активна боротьба з конвертаційними центрами та центрами мінімізації</w:t>
            </w:r>
          </w:p>
        </w:tc>
        <w:tc>
          <w:tcPr>
            <w:vAlign w:val="center"/>
          </w:tcPr>
          <w:p>
            <w:pPr>
              <w:jc w:val="center"/>
            </w:pPr>
            <w:r>
              <w:rPr>
                <w:sz w:val="20"/>
                <w:szCs w:val="20"/>
              </w:rPr>
              <w:t xml:space="preserve">Вжити заходів щодо виявлення та припинення діяльності конвертаційних центрів та центрів мінімізації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01-06-2020</w:t>
            </w:r>
          </w:p>
        </w:tc>
        <w:tc>
          <w:tcPr>
            <w:vAlign w:val="center"/>
          </w:tcPr>
          <w:p>
            <w:pPr>
              <w:jc w:val="center"/>
            </w:pPr>
            <w:r>
              <w:rPr>
                <w:sz w:val="20"/>
                <w:szCs w:val="20"/>
              </w:rPr>
              <w:t xml:space="preserve">ДПС</w:t>
            </w:r>
          </w:p>
        </w:tc>
      </w:tr>
      <w:tr>
        <w:trPr/>
        <w:tc>
          <w:tcPr>
            <w:vMerge w:val="continue"/>
          </w:tcPr>
          <w:p/>
        </w:tc>
        <w:tc>
          <w:tcPr>
            <w:vAlign w:val="center"/>
            <w:vMerge w:val="restart"/>
          </w:tcPr>
          <w:p>
            <w:pPr>
              <w:jc w:val="center"/>
            </w:pPr>
            <w:r>
              <w:rPr>
                <w:sz w:val="20"/>
                <w:szCs w:val="20"/>
              </w:rPr>
              <w:t xml:space="preserve">3.	Посилення протидії відмиванню доходів, одержаних злочинним шляхом</w:t>
            </w:r>
          </w:p>
        </w:tc>
        <w:tc>
          <w:tcPr>
            <w:vAlign w:val="center"/>
          </w:tcPr>
          <w:p>
            <w:pPr>
              <w:jc w:val="center"/>
            </w:pPr>
            <w:r>
              <w:rPr>
                <w:sz w:val="20"/>
                <w:szCs w:val="20"/>
              </w:rPr>
              <w:t xml:space="preserve">Прийняти проект Закону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4.	Створення Бюро фінансових розслідувань</w:t>
            </w:r>
          </w:p>
        </w:tc>
        <w:tc>
          <w:tcPr>
            <w:vAlign w:val="center"/>
          </w:tcPr>
          <w:p>
            <w:pPr>
              <w:jc w:val="center"/>
            </w:pPr>
            <w:r>
              <w:rPr>
                <w:sz w:val="20"/>
                <w:szCs w:val="20"/>
              </w:rPr>
              <w:t xml:space="preserve">Прийняти проект Закону України «Про Бюро фінансових розслідувань»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5.	Ліквідація податкової міліції, усунення дублювання функцій, пов’язаних з боротьбою із злочинами у сфері фінансів, податкової міліції, правоохоронних органів та Бюро фінансових розслідувань</w:t>
            </w:r>
          </w:p>
        </w:tc>
        <w:tc>
          <w:tcPr>
            <w:vAlign w:val="center"/>
          </w:tcPr>
          <w:p>
            <w:pPr>
              <w:jc w:val="center"/>
            </w:pPr>
            <w:r>
              <w:rPr>
                <w:sz w:val="20"/>
                <w:szCs w:val="20"/>
              </w:rPr>
              <w:t xml:space="preserve">Завершити заходи з ліквідації ДФС, включаючи податкову міліцію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ДФС</w:t>
            </w:r>
          </w:p>
        </w:tc>
      </w:tr>
      <w:tr>
        <w:trPr/>
        <w:tc>
          <w:tcPr>
            <w:vMerge w:val="continue"/>
          </w:tcPr>
          <w:p/>
        </w:tc>
        <w:tc>
          <w:tcPr>
            <w:vAlign w:val="center"/>
            <w:vMerge w:val="restart"/>
          </w:tcPr>
          <w:p>
            <w:pPr>
              <w:jc w:val="center"/>
            </w:pPr>
            <w:r>
              <w:rPr>
                <w:sz w:val="20"/>
                <w:szCs w:val="20"/>
              </w:rPr>
              <w:t xml:space="preserve">6.	Розширення співпраці з європейськими органами протидії фінансово-економічним правопорушенням</w:t>
            </w:r>
          </w:p>
        </w:tc>
        <w:tc>
          <w:tcPr>
            <w:vAlign w:val="center"/>
          </w:tcPr>
          <w:p>
            <w:pPr>
              <w:jc w:val="center"/>
            </w:pPr>
            <w:r>
              <w:rPr>
                <w:sz w:val="20"/>
                <w:szCs w:val="20"/>
              </w:rPr>
              <w:t xml:space="preserve">Розробити перелік заходів з розширення співпраці з європейськими органами протидії фінансово-економічним правопорушенням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Мінфін, ДФС</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BED608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2020-02-10T10:29:34+02:00</dcterms:created>
  <dcterms:modified xsi:type="dcterms:W3CDTF">2020-02-10T10:29:34+02:00</dcterms:modified>
</cp:coreProperties>
</file>

<file path=docProps/custom.xml><?xml version="1.0" encoding="utf-8"?>
<Properties xmlns="http://schemas.openxmlformats.org/officeDocument/2006/custom-properties" xmlns:vt="http://schemas.openxmlformats.org/officeDocument/2006/docPropsVTypes"/>
</file>