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«7.2 Українські споживачі отримують безпечні товари та послуги»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Споживачі незадоволені безпечністю та якістю продукції</w:t>
      </w:r>
    </w:p>
    <w:p>
      <w:pPr/>
      <w:r>
        <w:rPr>
          <w:b w:val="1"/>
          <w:bCs w:val="1"/>
        </w:rPr>
        <w:t xml:space="preserve">1.2. Носій проблеми </w:t>
      </w:r>
    </w:p>
    <w:p>
      <w:pPr/>
      <w:r>
        <w:rPr/>
        <w:t xml:space="preserve">Споживачі товарів та послуг в Україні</w:t>
      </w:r>
    </w:p>
    <w:p>
      <w:pPr/>
      <w:r>
        <w:rPr>
          <w:b w:val="1"/>
          <w:bCs w:val="1"/>
        </w:rPr>
        <w:t xml:space="preserve">1.3. Масштаб проблеми: Загальнонаціональна</w:t>
      </w:r>
    </w:p>
    <w:p>
      <w:pPr/>
      <w:r>
        <w:rPr/>
        <w:t xml:space="preserve">Споживачами товарів та послуг є все населення України, яке за даними Державної служби статистики України станом на 01.09.2019 складає 41,9 млн осіб</w:t>
      </w:r>
      <w:r>
        <w:rPr>
          <w:i w:val="1"/>
          <w:iCs w:val="1"/>
        </w:rPr>
        <w:t xml:space="preserve">. </w:t>
      </w:r>
      <w:r>
        <w:rPr/>
        <w:t xml:space="preserve">За даними Урядового контактного центру впродовж 2018 року 60 % громадян, що звертались на “гарячу лінію”, стикалися із порушеннями своїх прав споживача</w:t>
      </w:r>
    </w:p>
    <w:p>
      <w:pPr/>
      <w:r>
        <w:rPr>
          <w:b w:val="1"/>
          <w:bCs w:val="1"/>
        </w:rPr>
        <w:t xml:space="preserve">1.4. Гострота проблеми: Середня</w:t>
      </w:r>
    </w:p>
    <w:p>
      <w:pPr/>
      <w:r>
        <w:rPr/>
        <w:t xml:space="preserve">Проблема не є пріоритетною для споживачів із низки причин, зокрема:</w:t>
      </w:r>
    </w:p>
    <w:p>
      <w:pPr/>
      <w:r>
        <w:rPr/>
        <w:t xml:space="preserve">1. відсутність у споживачів стійкого взаємозв’язку між безпечністю та/або якістю товарів та послуг, що запропоновані на споживчому ринку України, та ризиками для життя та/або здоров’я внаслідок їх споживання;</w:t>
      </w:r>
    </w:p>
    <w:p>
      <w:pPr/>
      <w:r>
        <w:rPr/>
        <w:t xml:space="preserve">2. відсутність у споживачів достатньої інформації про власні права, а також обов’язки суб’єктів господарювання, що здійснюють діяльність у сфері виробництва та обігу товарів, надання послуг</w:t>
      </w:r>
    </w:p>
    <w:p>
      <w:pPr/>
      <w:r>
        <w:rPr>
          <w:b w:val="1"/>
          <w:bCs w:val="1"/>
        </w:rPr>
        <w:t xml:space="preserve">1.5. Динаміка проблеми:  Негативна</w:t>
      </w:r>
    </w:p>
    <w:p>
      <w:pPr/>
      <w:r>
        <w:rPr/>
        <w:t xml:space="preserve">Відповідно до даних Держпродспоживслужби динаміка спалахів гострих кишкових інфекцій за останні три роки наступна: 2016 р. – 142 спалахи (2877 постраждалих осіб, у тому числі 1374 (47,8 %) дітей), 2017 р. – 163 спалахи (2182 постраждалих осіб, у тому числі 1459 (66,8 %) дітей), 2018 р. – 163 спалахи (1899 постраждалих осіб, у тому числі 1029 (54,2 %) дітей). Прогнозовані показники на наступний період: 2019 р. – 143 спалахи (1992 постраждалі особи); 2020 р.– 152 спалахи (2047 постраждалі особи); 2021 р. – 160 спалахи (2101 постраждала особа). Нинішня динаміка проблеми може бути охарактеризована як </w:t>
      </w:r>
      <w:r>
        <w:rPr>
          <w:b w:val="1"/>
          <w:bCs w:val="1"/>
        </w:rPr>
        <w:t xml:space="preserve">45 постраждалих від токсикоінфекцій на 1 млн населення.</w:t>
      </w:r>
    </w:p>
    <w:p>
      <w:pPr/>
      <w:r>
        <w:rPr/>
        <w:t xml:space="preserve">Відповідно до даних Держпродспоживслужби динаміка звернення споживачів щодо порушення їх справ за останні три роки наступна: 2016 р. – 9963 звернення, 2017 р. – 20123 звернення, 2018 р. – 21367 звернень. Прогнозується, що у 2019-2021 роках відбудеться зростання кількості звернень громадян: 2019 р. – 22 800 звернень, 2020 р. – 24 000 звернень, 2021 р. – 25 500 звернень. Нинішня динаміка проблеми може бути охарактеризована як </w:t>
      </w:r>
      <w:r>
        <w:rPr>
          <w:b w:val="1"/>
          <w:bCs w:val="1"/>
        </w:rPr>
        <w:t xml:space="preserve">66 порушень на 1 млн населення</w:t>
      </w:r>
    </w:p>
    <w:p>
      <w:pPr/>
      <w:r>
        <w:rPr>
          <w:b w:val="1"/>
          <w:bCs w:val="1"/>
        </w:rPr>
        <w:t xml:space="preserve">1.6. Причини проблеми</w:t>
      </w:r>
    </w:p>
    <w:p>
      <w:pPr/>
      <w:r>
        <w:rPr/>
        <w:t xml:space="preserve">Причина 1 - Неналежне нормативно-правове забезпечення</w:t>
      </w:r>
    </w:p>
    <w:p>
      <w:pPr/>
      <w:r>
        <w:rPr/>
        <w:t xml:space="preserve">Причина 2 - Недостатня інституційна спроможність та відсутність належної взаємодії між органами влади, у т. ч. низький рівень кадрового забезпечення та його недостатня кваліфікація</w:t>
      </w:r>
    </w:p>
    <w:p>
      <w:pPr/>
      <w:r>
        <w:rPr/>
        <w:t xml:space="preserve">Причина 3 - Недостатня поінформованість операторів ринку та споживачів, зокрема щодо вимог до безпечності харчових продуктів</w:t>
      </w:r>
    </w:p>
    <w:p>
      <w:pPr/>
      <w:r>
        <w:rPr/>
        <w:t xml:space="preserve">Причина 4 - Обмеженість ресурсів, зокрема фінансування</w:t>
      </w:r>
    </w:p>
    <w:p>
      <w:pPr/>
      <w:r>
        <w:rPr>
          <w:b w:val="1"/>
          <w:bCs w:val="1"/>
        </w:rPr>
        <w:t xml:space="preserve">1.7. Показники ефективності політики</w:t>
      </w:r>
    </w:p>
    <w:p>
      <w:pPr>
        <w:numPr>
          <w:ilvl w:val="0"/>
          <w:numId w:val="1"/>
        </w:numPr>
      </w:pPr>
      <w:r>
        <w:rPr/>
        <w:t xml:space="preserve">Зменшення кількості випадків харчових отруєнь і випадків токсикоінфекцій до 30 на 1 млн. населення</w:t>
      </w:r>
    </w:p>
    <w:p>
      <w:pPr>
        <w:numPr>
          <w:ilvl w:val="0"/>
          <w:numId w:val="1"/>
        </w:numPr>
      </w:pPr>
      <w:r>
        <w:rPr/>
        <w:t xml:space="preserve">Зменшення випадків завданої шкоди споживачам від неякісних товарів та послуг до 50 на 1 млн. споживачів</w:t>
      </w:r>
    </w:p>
    <w:p>
      <w:pPr/>
      <w:r>
        <w:rPr>
          <w:b w:val="1"/>
          <w:bCs w:val="1"/>
        </w:rPr>
        <w:t xml:space="preserve">1.8. Опис чинної державної політики щодо вирішення проблеми / її причин.</w:t>
      </w:r>
    </w:p>
    <w:p>
      <w:pPr/>
      <w:r>
        <w:rPr/>
        <w:t xml:space="preserve">У сфері безпечності харчових продуктів та захисту прав споживачів створено єдиний контролюючий орган – Державну службу України з питань безпечності харчових продуктів та захисту споживачів (Держпродспоживслужба), що об’єднала в собі функції 7 контролюючих органів. Прийнято базові закони, а саме: закони України “Про основні принципи та вимоги до безпечності та якості харчових продуктів”, “Про державний контроль за дотриманням законодавства про харчові продукти, корми, побічні продукти тваринного походження, здоров’я та благополуччя тварин” та “Про інформацію для споживачів щодо харчових продуктів”. В рамках виконання Угоди про Асоціацію між Україною, з однієї сторони, та Європейським Союзом, Європейським співтовариством з атомної енергії і їхніми державами-членами, з іншої сторони продовжується імплементація норм права ЄС у сфері безпечності та окремих показників якості харчових продуктів.</w:t>
      </w:r>
    </w:p>
    <w:p>
      <w:pPr/>
      <w:r>
        <w:rPr/>
        <w:t xml:space="preserve">Водночас, на державному рівні не створено доступну та прозору систему досудового розгляду скарг і реагування на результати незалежних споживчих досліджень. Крім того, в Україні недооцінена роль громадянського суспільства, зокрема громадських об’єднань споживачів.</w:t>
      </w:r>
    </w:p>
    <w:p>
      <w:pPr/>
      <w:r>
        <w:rPr>
          <w:b w:val="1"/>
          <w:bCs w:val="1"/>
        </w:rPr>
        <w:t xml:space="preserve">2.	ПРОПОНОВАНИЙ КУРС ПОЛІТИКИ</w:t>
      </w:r>
    </w:p>
    <w:p>
      <w:pPr/>
      <w:r>
        <w:rPr>
          <w:b w:val="1"/>
          <w:bCs w:val="1"/>
        </w:rPr>
        <w:t xml:space="preserve">2.1. Підціль 1 “Розробка та прийняття нормативно-правових актів”</w:t>
      </w:r>
    </w:p>
    <w:p>
      <w:pPr/>
      <w:r>
        <w:rPr>
          <w:b w:val="1"/>
          <w:bCs w:val="1"/>
        </w:rPr>
        <w:t xml:space="preserve">Показники результативності: </w:t>
      </w:r>
    </w:p>
    <w:p>
      <w:pPr>
        <w:numPr>
          <w:ilvl w:val="0"/>
          <w:numId w:val="1"/>
        </w:numPr>
      </w:pPr>
      <w:r>
        <w:rPr/>
        <w:t xml:space="preserve">Кількість розроблених нормативно-правових актів (8 проектів законів України, 1 проект наказу Мінекономіки)</w:t>
      </w:r>
    </w:p>
    <w:p>
      <w:pPr>
        <w:numPr>
          <w:ilvl w:val="0"/>
          <w:numId w:val="1"/>
        </w:numPr>
      </w:pPr>
      <w:r>
        <w:rPr/>
        <w:t xml:space="preserve">Кількість прийнятих нормативно-правових актів (8 законів України, 1 наказ Мінекономіки)</w:t>
      </w:r>
    </w:p>
    <w:p>
      <w:pPr/>
      <w:r>
        <w:rPr>
          <w:b w:val="1"/>
          <w:bCs w:val="1"/>
        </w:rPr>
        <w:t xml:space="preserve">Завдання до підцілі 1: </w:t>
      </w:r>
    </w:p>
    <w:p>
      <w:pPr>
        <w:numPr>
          <w:ilvl w:val="0"/>
          <w:numId w:val="1"/>
        </w:numPr>
      </w:pPr>
      <w:r>
        <w:rPr/>
        <w:t xml:space="preserve">Розробка відповідних нормативно-правових актів у сфері безпечності харчових продуктів</w:t>
      </w:r>
    </w:p>
    <w:p>
      <w:pPr>
        <w:numPr>
          <w:ilvl w:val="0"/>
          <w:numId w:val="1"/>
        </w:numPr>
      </w:pPr>
      <w:r>
        <w:rPr/>
        <w:t xml:space="preserve">Розробка відповідних нормативно-правових актів у сфері захисту споживачів</w:t>
      </w:r>
    </w:p>
    <w:p>
      <w:pPr>
        <w:numPr>
          <w:ilvl w:val="0"/>
          <w:numId w:val="1"/>
        </w:numPr>
      </w:pPr>
      <w:r>
        <w:rPr/>
        <w:t xml:space="preserve">Розробка відповідних нормативно-правових актів у сфері здоров’я та благополуччя тварин та захисту рослин</w:t>
      </w:r>
    </w:p>
    <w:p>
      <w:pPr/>
      <w:r>
        <w:rPr>
          <w:b w:val="1"/>
          <w:bCs w:val="1"/>
        </w:rPr>
        <w:t xml:space="preserve">2.2. Підціль 2 “Підвищення професійної компетентності та мотивації державних службовців, налагодження процедури взаємодії органів державної влади, зокрема шляхом діджиталізації, оновлення технологій, передача ряду повноважень державних органів”</w:t>
      </w:r>
    </w:p>
    <w:p>
      <w:pPr/>
      <w:r>
        <w:rPr>
          <w:b w:val="1"/>
          <w:bCs w:val="1"/>
        </w:rPr>
        <w:t xml:space="preserve">Показники результативності: </w:t>
      </w:r>
    </w:p>
    <w:p>
      <w:pPr>
        <w:numPr>
          <w:ilvl w:val="0"/>
          <w:numId w:val="1"/>
        </w:numPr>
      </w:pPr>
      <w:r>
        <w:rPr/>
        <w:t xml:space="preserve">Показник плинності кадрів Держпродспоживслужби (не більше 20 % від штатної чисельності)</w:t>
      </w:r>
    </w:p>
    <w:p>
      <w:pPr>
        <w:numPr>
          <w:ilvl w:val="0"/>
          <w:numId w:val="1"/>
        </w:numPr>
      </w:pPr>
      <w:r>
        <w:rPr/>
        <w:t xml:space="preserve">Кількість лабораторій, що уповноважені на здійснення фітосанітарної експертизи (аналізу), лабораторних досліджень засобів захисту рослин (не менше 4 уповноважених лабораторій приватної форми власності)</w:t>
      </w:r>
    </w:p>
    <w:p>
      <w:pPr>
        <w:numPr>
          <w:ilvl w:val="0"/>
          <w:numId w:val="1"/>
        </w:numPr>
      </w:pPr>
      <w:r>
        <w:rPr/>
        <w:t xml:space="preserve">Збільшення заробітної плати (збільшення заробітної плати щонайменше на 7 %)</w:t>
      </w:r>
    </w:p>
    <w:p>
      <w:pPr/>
      <w:r>
        <w:rPr>
          <w:b w:val="1"/>
          <w:bCs w:val="1"/>
        </w:rPr>
        <w:t xml:space="preserve">Завдання до підцілі 2: </w:t>
      </w:r>
    </w:p>
    <w:p>
      <w:pPr>
        <w:numPr>
          <w:ilvl w:val="0"/>
          <w:numId w:val="1"/>
        </w:numPr>
      </w:pPr>
      <w:r>
        <w:rPr/>
        <w:t xml:space="preserve">Забезпечення конкурентної заробітної плати працівникам Держпродспоживслужби з врахуванням індексу інфляції</w:t>
      </w:r>
    </w:p>
    <w:p>
      <w:pPr>
        <w:numPr>
          <w:ilvl w:val="0"/>
          <w:numId w:val="1"/>
        </w:numPr>
      </w:pPr>
      <w:r>
        <w:rPr/>
        <w:t xml:space="preserve">Запровадження в законодавстві статусу відомчої безперервної системи підвищення професійної компетентності</w:t>
      </w:r>
    </w:p>
    <w:p>
      <w:pPr>
        <w:numPr>
          <w:ilvl w:val="0"/>
          <w:numId w:val="1"/>
        </w:numPr>
      </w:pPr>
      <w:r>
        <w:rPr/>
        <w:t xml:space="preserve">Розбудова інституції підвищення кваліфікації фахівців Держпродспоживслужби в рамках наявного бюджетного фінансування, із врахуванням результатів такого навчання для отримання документу про підвищення кваліфікації</w:t>
      </w:r>
    </w:p>
    <w:p>
      <w:pPr>
        <w:numPr>
          <w:ilvl w:val="0"/>
          <w:numId w:val="1"/>
        </w:numPr>
      </w:pPr>
      <w:r>
        <w:rPr/>
        <w:t xml:space="preserve">Посилення боротьби із фальсифікацією продукції, у тому числі забезпечення умов для простежуваності харчових продуктів шляхом діджиталізації</w:t>
      </w:r>
    </w:p>
    <w:p>
      <w:pPr>
        <w:numPr>
          <w:ilvl w:val="0"/>
          <w:numId w:val="1"/>
        </w:numPr>
      </w:pPr>
      <w:r>
        <w:rPr/>
        <w:t xml:space="preserve">Запровадження моніторингу дотримання вимог законодавства постачальниками та операторами ринку, що здійснюють постачання харчових продуктів у заклади освіти</w:t>
      </w:r>
    </w:p>
    <w:p>
      <w:pPr>
        <w:numPr>
          <w:ilvl w:val="0"/>
          <w:numId w:val="1"/>
        </w:numPr>
      </w:pPr>
      <w:r>
        <w:rPr/>
        <w:t xml:space="preserve">Розбудова системи швидкого внутрішнього оповіщення про харчові продукти та корми</w:t>
      </w:r>
    </w:p>
    <w:p>
      <w:pPr>
        <w:numPr>
          <w:ilvl w:val="0"/>
          <w:numId w:val="1"/>
        </w:numPr>
      </w:pPr>
      <w:r>
        <w:rPr/>
        <w:t xml:space="preserve">Передача частини повноважень щодо здійснення фітосанітарної експертизи (аналізу)</w:t>
      </w:r>
    </w:p>
    <w:p>
      <w:pPr>
        <w:numPr>
          <w:ilvl w:val="0"/>
          <w:numId w:val="1"/>
        </w:numPr>
      </w:pPr>
      <w:r>
        <w:rPr/>
        <w:t xml:space="preserve">Створення онлайн-платформи позасудового вирішення споживчих спорів</w:t>
      </w:r>
    </w:p>
    <w:p>
      <w:pPr>
        <w:numPr>
          <w:ilvl w:val="0"/>
          <w:numId w:val="1"/>
        </w:numPr>
      </w:pPr>
      <w:r>
        <w:rPr/>
        <w:t xml:space="preserve">Координація діяльності органів виконавчої влади та органів місцевого самоврядування</w:t>
      </w:r>
    </w:p>
    <w:p>
      <w:pPr/>
      <w:r>
        <w:rPr>
          <w:b w:val="1"/>
          <w:bCs w:val="1"/>
        </w:rPr>
        <w:t xml:space="preserve">2.3. Підціль 3 “Створення стійкої суспільної думки, пасивний доступ до зрозумілої інформації та доступ до активної інформації”</w:t>
      </w:r>
    </w:p>
    <w:p>
      <w:pPr/>
      <w:r>
        <w:rPr>
          <w:b w:val="1"/>
          <w:bCs w:val="1"/>
        </w:rPr>
        <w:t xml:space="preserve">Показники результативності: </w:t>
      </w:r>
    </w:p>
    <w:p>
      <w:pPr>
        <w:numPr>
          <w:ilvl w:val="0"/>
          <w:numId w:val="1"/>
        </w:numPr>
      </w:pPr>
      <w:r>
        <w:rPr/>
        <w:t xml:space="preserve">Кількість курсів навчання для операторів ринку (2 курси навчання)</w:t>
      </w:r>
    </w:p>
    <w:p>
      <w:pPr>
        <w:numPr>
          <w:ilvl w:val="0"/>
          <w:numId w:val="1"/>
        </w:numPr>
      </w:pPr>
      <w:r>
        <w:rPr/>
        <w:t xml:space="preserve">Кількість інформаційних кампаній щодо профільного законодавства (не менше 4 кампаній)</w:t>
      </w:r>
    </w:p>
    <w:p>
      <w:pPr>
        <w:numPr>
          <w:ilvl w:val="0"/>
          <w:numId w:val="1"/>
        </w:numPr>
      </w:pPr>
      <w:r>
        <w:rPr/>
        <w:t xml:space="preserve">Кількість заходів комунікації щодо аналізу ризику (не менше 6 заходів)</w:t>
      </w:r>
    </w:p>
    <w:p>
      <w:pPr>
        <w:numPr>
          <w:ilvl w:val="0"/>
          <w:numId w:val="1"/>
        </w:numPr>
      </w:pPr>
      <w:r>
        <w:rPr/>
        <w:t xml:space="preserve">Кількість операторів ринку, що пройшли навчання щодо безпечного поводження з пестицидами (100 % відповідних операторів ринку пройшли навчання щодо безпечного поводження з пестицидами)</w:t>
      </w:r>
    </w:p>
    <w:p>
      <w:pPr>
        <w:numPr>
          <w:ilvl w:val="0"/>
          <w:numId w:val="1"/>
        </w:numPr>
      </w:pPr>
      <w:r>
        <w:rPr/>
        <w:t xml:space="preserve">Кількість спільних заходів щодо вирішення нагальних питань у сфері захисту прав споживачів (не менше 120 заходів)</w:t>
      </w:r>
    </w:p>
    <w:p>
      <w:pPr/>
      <w:r>
        <w:rPr>
          <w:b w:val="1"/>
          <w:bCs w:val="1"/>
        </w:rPr>
        <w:t xml:space="preserve">Завдання до підцілі 3: </w:t>
      </w:r>
    </w:p>
    <w:p>
      <w:pPr>
        <w:numPr>
          <w:ilvl w:val="0"/>
          <w:numId w:val="1"/>
        </w:numPr>
      </w:pPr>
      <w:r>
        <w:rPr/>
        <w:t xml:space="preserve">Розробка та впровадження циклу курсів навчання для операторів ринку стосовно вимог законодавства та кращих практик в сфері безпечності харчових продуктів</w:t>
      </w:r>
    </w:p>
    <w:p>
      <w:pPr>
        <w:numPr>
          <w:ilvl w:val="0"/>
          <w:numId w:val="1"/>
        </w:numPr>
      </w:pPr>
      <w:r>
        <w:rPr/>
        <w:t xml:space="preserve">Проведення інформаційної кампанія щодо законодавства у сфері безпечності харчових продуктів та захисту прав споживачів</w:t>
      </w:r>
    </w:p>
    <w:p>
      <w:pPr>
        <w:numPr>
          <w:ilvl w:val="0"/>
          <w:numId w:val="1"/>
        </w:numPr>
      </w:pPr>
      <w:r>
        <w:rPr/>
        <w:t xml:space="preserve">Здійснення комунікації з зацікавленими сторонами щодо аналізу ризику в сфері безпечності харчових продуктів</w:t>
      </w:r>
    </w:p>
    <w:p>
      <w:pPr>
        <w:numPr>
          <w:ilvl w:val="0"/>
          <w:numId w:val="1"/>
        </w:numPr>
      </w:pPr>
      <w:r>
        <w:rPr/>
        <w:t xml:space="preserve">Проведення навчання щодо безпечного поводження з пестицидами</w:t>
      </w:r>
    </w:p>
    <w:p>
      <w:pPr>
        <w:numPr>
          <w:ilvl w:val="0"/>
          <w:numId w:val="1"/>
        </w:numPr>
      </w:pPr>
      <w:r>
        <w:rPr/>
        <w:t xml:space="preserve">Проведення спільних заходів з громадськими організаціями щодо вирішення нагальних питань у сфері захисту прав споживачів</w:t>
      </w:r>
    </w:p>
    <w:p>
      <w:pPr>
        <w:numPr>
          <w:ilvl w:val="0"/>
          <w:numId w:val="1"/>
        </w:numPr>
      </w:pPr>
      <w:r>
        <w:rPr/>
        <w:t xml:space="preserve">Створення спільно з громадськими організаціями та іншими заінтересованими сторонами соціальної реклами (в тому числі відеороликів), а також інших інформаційних матеріалів щодо захисту споживачів</w:t>
      </w:r>
    </w:p>
    <w:p>
      <w:pPr>
        <w:numPr>
          <w:ilvl w:val="0"/>
          <w:numId w:val="1"/>
        </w:numPr>
      </w:pPr>
      <w:r>
        <w:rPr/>
        <w:t xml:space="preserve">Створення дієвих систем консультування споживачів, підвищення рівня загальної правової грамотності, ступеня поінформованості, впевненості та впливовості споживачів на розвиток внутрішнього ринку</w:t>
      </w:r>
    </w:p>
    <w:p>
      <w:pPr/>
      <w:r>
        <w:rPr>
          <w:b w:val="1"/>
          <w:bCs w:val="1"/>
        </w:rPr>
        <w:t xml:space="preserve">2.4. Підціль 4 “Належне ресурсне забезпечення”</w:t>
      </w:r>
    </w:p>
    <w:p>
      <w:pPr/>
      <w:r>
        <w:rPr>
          <w:b w:val="1"/>
          <w:bCs w:val="1"/>
        </w:rPr>
        <w:t xml:space="preserve">Показники результативності: </w:t>
      </w:r>
    </w:p>
    <w:p>
      <w:pPr>
        <w:numPr>
          <w:ilvl w:val="0"/>
          <w:numId w:val="1"/>
        </w:numPr>
      </w:pPr>
      <w:r>
        <w:rPr/>
        <w:t xml:space="preserve">Обсяг задоволення потреби Держпродспоживслужби в матеріально-технічних ресурсах (100 % потреби задоволено)</w:t>
      </w:r>
    </w:p>
    <w:p>
      <w:pPr>
        <w:numPr>
          <w:ilvl w:val="0"/>
          <w:numId w:val="1"/>
        </w:numPr>
      </w:pPr>
      <w:r>
        <w:rPr/>
        <w:t xml:space="preserve">Обсяг задоволення потреби Держпродспоживслужби в кваліфікованому персоналі (100 % потреби задоволено)</w:t>
      </w:r>
    </w:p>
    <w:p>
      <w:pPr/>
      <w:r>
        <w:rPr>
          <w:b w:val="1"/>
          <w:bCs w:val="1"/>
        </w:rPr>
        <w:t xml:space="preserve">Завдання до підцілі 4: </w:t>
      </w:r>
    </w:p>
    <w:p>
      <w:pPr>
        <w:numPr>
          <w:ilvl w:val="0"/>
          <w:numId w:val="1"/>
        </w:numPr>
      </w:pPr>
      <w:r>
        <w:rPr/>
        <w:t xml:space="preserve">Забезпечення обґрунтованого замовлення Держпродспоживслужби на навчання необхідних спеціалістів у ВНЗ (лікар-епідеміолог, лікар-гігієніст, лікар ветеринарної медицини, лікар з ветеринарної гігієни, санітарії і експертизи)</w:t>
      </w:r>
    </w:p>
    <w:p>
      <w:pPr>
        <w:numPr>
          <w:ilvl w:val="0"/>
          <w:numId w:val="1"/>
        </w:numPr>
      </w:pPr>
      <w:r>
        <w:rPr/>
        <w:t xml:space="preserve">Підготовка професійних кадрів для забезпечення потреб Держпродспоживслужби та ринку</w:t>
      </w:r>
    </w:p>
    <w:p>
      <w:pPr>
        <w:numPr>
          <w:ilvl w:val="0"/>
          <w:numId w:val="1"/>
        </w:numPr>
      </w:pPr>
      <w:r>
        <w:rPr/>
        <w:t xml:space="preserve">Запровадження адекватного розміру плати за послуги в системі лабораторної діагностики та державного контролю</w:t>
      </w:r>
    </w:p>
    <w:p>
      <w:pPr>
        <w:numPr>
          <w:ilvl w:val="0"/>
          <w:numId w:val="1"/>
        </w:numPr>
      </w:pPr>
      <w:r>
        <w:rPr/>
        <w:t xml:space="preserve">Точкова підтримка розвитку виробництва, зокрема через часткову компенсацію вартості витрат на інфраструктуру</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B4B879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2020-02-10T10:29:38+02:00</dcterms:created>
  <dcterms:modified xsi:type="dcterms:W3CDTF">2020-02-10T10:29:38+02:00</dcterms:modified>
</cp:coreProperties>
</file>

<file path=docProps/custom.xml><?xml version="1.0" encoding="utf-8"?>
<Properties xmlns="http://schemas.openxmlformats.org/officeDocument/2006/custom-properties" xmlns:vt="http://schemas.openxmlformats.org/officeDocument/2006/docPropsVTypes"/>
</file>