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«7.5. Українці не переплачують за послуги та товари, що придбає в їх інтересах держава»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Низький рівень конкуренції призводить до потенційно вищого рівня цін, високий відсоток неуспішних процедур призводить до неефективних закупівель та нераціонального використання коштів платників податків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Громадяни - платники податків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Все населення України – 34,4 млн. (джерело: Держстат, станом на 01.01.2019, постійне населення України за винятком дітей віком від 0 до 17 років без урахування тимчасово окупованих територій АР Крим та м. Севастополь)</w:t>
      </w:r>
    </w:p>
    <w:p>
      <w:pPr/>
      <w:r>
        <w:rPr>
          <w:b w:val="1"/>
          <w:bCs w:val="1"/>
        </w:rPr>
        <w:t xml:space="preserve">1.4. Гострота проблеми: Середня</w:t>
      </w:r>
    </w:p>
    <w:p>
      <w:pPr/>
      <w:r>
        <w:rPr/>
        <w:t xml:space="preserve">Низький рівень конкуренції призводить до потенційно вищого рівня цін (втрати від неефективних закупівель складають 13,7 млрд. грн, що складає майже 10 % видаткової частини бюджету на соціальний захист 2019 року</w:t>
      </w:r>
      <w:hyperlink w:anchor="_ftn1" w:history="1">
        <w:r>
          <w:rPr/>
          <w:t xml:space="preserve">[1]</w:t>
        </w:r>
      </w:hyperlink>
      <w:r>
        <w:rPr/>
        <w:t xml:space="preserve">.)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r>
        <w:rPr>
          <w:i w:val="1"/>
          <w:iCs w:val="1"/>
        </w:rPr>
        <w:t xml:space="preserve">Джерело:http://cost.ua/budget/expenditure/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Протягом 2017–2019 років недоотримана економія постійно зростає і наразі становить 13,7 млрд. грн. за 11 місяців 2019 проти 13,5 за 2017 рік. Якщо протягом наступних років політика залишиться незмінною, втрати за 2019 рік можуть сягнути 14.9 млрд. грн., у 2020 р. – 16.4 млрд. грн., а в 2021 р. – 17.4 млрд. грн.</w:t>
      </w:r>
    </w:p>
    <w:p>
      <w:pPr/>
      <w:r>
        <w:rPr>
          <w:b w:val="1"/>
          <w:bCs w:val="1"/>
        </w:rPr>
        <w:t xml:space="preserve">Низькоконкурентні процедури (2 - 3 пропозиції), економія у %</w:t>
      </w:r>
    </w:p>
    <w:p>
      <w:pPr/>
      <w:r>
        <w:rPr>
          <w:b w:val="1"/>
          <w:bCs w:val="1"/>
        </w:rPr>
        <w:t xml:space="preserve">2016 р. - </w:t>
      </w:r>
      <w:r>
        <w:rPr/>
        <w:t xml:space="preserve">7,12</w:t>
      </w:r>
    </w:p>
    <w:p>
      <w:pPr/>
      <w:r>
        <w:rPr>
          <w:b w:val="1"/>
          <w:bCs w:val="1"/>
        </w:rPr>
        <w:t xml:space="preserve">2017 р. - </w:t>
      </w:r>
      <w:r>
        <w:rPr/>
        <w:t xml:space="preserve">5,69</w:t>
      </w:r>
    </w:p>
    <w:p>
      <w:pPr/>
      <w:r>
        <w:rPr>
          <w:b w:val="1"/>
          <w:bCs w:val="1"/>
        </w:rPr>
        <w:t xml:space="preserve">2018 р. - </w:t>
      </w:r>
      <w:r>
        <w:rPr/>
        <w:t xml:space="preserve">4,76</w:t>
      </w:r>
    </w:p>
    <w:p>
      <w:pPr/>
      <w:r>
        <w:rPr>
          <w:b w:val="1"/>
          <w:bCs w:val="1"/>
        </w:rPr>
        <w:t xml:space="preserve">2019 р. (11 міс.) - </w:t>
      </w:r>
      <w:r>
        <w:rPr/>
        <w:t xml:space="preserve">5,53</w:t>
      </w:r>
    </w:p>
    <w:p>
      <w:pPr/>
      <w:r>
        <w:rPr>
          <w:b w:val="1"/>
          <w:bCs w:val="1"/>
        </w:rPr>
        <w:t xml:space="preserve">Висококонкурентні процедури (4+ пропозицій), економія у %</w:t>
      </w:r>
    </w:p>
    <w:p>
      <w:pPr/>
      <w:r>
        <w:rPr>
          <w:b w:val="1"/>
          <w:bCs w:val="1"/>
        </w:rPr>
        <w:t xml:space="preserve">2016 р. - </w:t>
      </w:r>
      <w:r>
        <w:rPr/>
        <w:t xml:space="preserve">14,18</w:t>
      </w:r>
    </w:p>
    <w:p>
      <w:pPr/>
      <w:r>
        <w:rPr>
          <w:b w:val="1"/>
          <w:bCs w:val="1"/>
        </w:rPr>
        <w:t xml:space="preserve">2017 р. - </w:t>
      </w:r>
      <w:r>
        <w:rPr/>
        <w:t xml:space="preserve">11,61</w:t>
      </w:r>
    </w:p>
    <w:p>
      <w:pPr/>
      <w:r>
        <w:rPr>
          <w:b w:val="1"/>
          <w:bCs w:val="1"/>
        </w:rPr>
        <w:t xml:space="preserve">2018 р. - </w:t>
      </w:r>
      <w:r>
        <w:rPr/>
        <w:t xml:space="preserve">10,13</w:t>
      </w:r>
    </w:p>
    <w:p>
      <w:pPr/>
      <w:r>
        <w:rPr>
          <w:b w:val="1"/>
          <w:bCs w:val="1"/>
        </w:rPr>
        <w:t xml:space="preserve">2019 р. (11 міс.) - </w:t>
      </w:r>
      <w:r>
        <w:rPr/>
        <w:t xml:space="preserve">13,70</w:t>
      </w:r>
    </w:p>
    <w:p>
      <w:pPr/>
      <w:r>
        <w:rPr>
          <w:b w:val="1"/>
          <w:bCs w:val="1"/>
        </w:rPr>
        <w:t xml:space="preserve">Різниця економії, %</w:t>
      </w:r>
    </w:p>
    <w:p>
      <w:pPr/>
      <w:r>
        <w:rPr>
          <w:b w:val="1"/>
          <w:bCs w:val="1"/>
        </w:rPr>
        <w:t xml:space="preserve">2016 р. - </w:t>
      </w:r>
      <w:r>
        <w:rPr/>
        <w:t xml:space="preserve">7,05</w:t>
      </w:r>
    </w:p>
    <w:p>
      <w:pPr/>
      <w:r>
        <w:rPr>
          <w:b w:val="1"/>
          <w:bCs w:val="1"/>
        </w:rPr>
        <w:t xml:space="preserve">2017 р. - </w:t>
      </w:r>
      <w:r>
        <w:rPr/>
        <w:t xml:space="preserve"> 5,92</w:t>
      </w:r>
    </w:p>
    <w:p>
      <w:pPr/>
      <w:r>
        <w:rPr>
          <w:b w:val="1"/>
          <w:bCs w:val="1"/>
        </w:rPr>
        <w:t xml:space="preserve">2018 р. - </w:t>
      </w:r>
      <w:r>
        <w:rPr/>
        <w:t xml:space="preserve">5,37</w:t>
      </w:r>
    </w:p>
    <w:p>
      <w:pPr/>
      <w:r>
        <w:rPr>
          <w:b w:val="1"/>
          <w:bCs w:val="1"/>
        </w:rPr>
        <w:t xml:space="preserve">2019 р. (11 міс.) - </w:t>
      </w:r>
      <w:r>
        <w:rPr/>
        <w:t xml:space="preserve">8,17</w:t>
      </w:r>
    </w:p>
    <w:p>
      <w:pPr/>
      <w:r>
        <w:rPr>
          <w:b w:val="1"/>
          <w:bCs w:val="1"/>
        </w:rPr>
        <w:t xml:space="preserve">Втрачена вигода, млрд. грн.</w:t>
      </w:r>
    </w:p>
    <w:p>
      <w:pPr/>
      <w:r>
        <w:rPr>
          <w:b w:val="1"/>
          <w:bCs w:val="1"/>
        </w:rPr>
        <w:t xml:space="preserve">2016 р. - </w:t>
      </w:r>
      <w:r>
        <w:rPr/>
        <w:t xml:space="preserve">3,631</w:t>
      </w:r>
    </w:p>
    <w:p>
      <w:pPr/>
      <w:r>
        <w:rPr>
          <w:b w:val="1"/>
          <w:bCs w:val="1"/>
        </w:rPr>
        <w:t xml:space="preserve">2017 р. - </w:t>
      </w:r>
      <w:r>
        <w:rPr/>
        <w:t xml:space="preserve"> 13,524</w:t>
      </w:r>
    </w:p>
    <w:p>
      <w:pPr/>
      <w:r>
        <w:rPr>
          <w:b w:val="1"/>
          <w:bCs w:val="1"/>
        </w:rPr>
        <w:t xml:space="preserve">2018 р. - </w:t>
      </w:r>
      <w:r>
        <w:rPr/>
        <w:t xml:space="preserve">14,497</w:t>
      </w:r>
    </w:p>
    <w:p>
      <w:pPr/>
      <w:r>
        <w:rPr>
          <w:b w:val="1"/>
          <w:bCs w:val="1"/>
        </w:rPr>
        <w:t xml:space="preserve">2019 р. (11 міс.) - </w:t>
      </w:r>
      <w:r>
        <w:rPr/>
        <w:t xml:space="preserve">13,729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Низький рівень професійної підготовки відповідальних за проведення закупівель, гостра нестача професійних закупівельників у сфері професійних закупівель</w:t>
      </w:r>
    </w:p>
    <w:p>
      <w:pPr/>
      <w:r>
        <w:rPr/>
        <w:t xml:space="preserve">Причина 2 - Неповна електронізація системи, низький рівень автоматизації</w:t>
      </w:r>
    </w:p>
    <w:p>
      <w:pPr/>
      <w:r>
        <w:rPr/>
        <w:t xml:space="preserve">Причина 3 - Відсутність в е-системі автоматичної перевірки інформації про учасника яка міститься у різних державних системах та реєстрах</w:t>
      </w:r>
    </w:p>
    <w:p>
      <w:pPr/>
      <w:r>
        <w:rPr/>
        <w:t xml:space="preserve">Причина 4 - Неспроможність контролюючих органів забезпечити належний контроль та притягнення до відповідальності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Підвищення ефективності публічних закупівель на 20%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Починаючи з 2015 року проводиться реформа публічних закупівель, а також поетапне приведення системи публічних закупівель України у відповідність із стандартами Європейського Союзу. Функції Уповноважного органа, що здійснює регулювання цієї сфери, покладені на Мінекономіки. Органом оскарження визначено Антимонопольний комітет. Контроль здійснюється Держаудитслужбою, Рахунковою палатою та Антимонопольним комітетом, в межах повноважень, визначених законодавством.</w:t>
      </w:r>
    </w:p>
    <w:p>
      <w:pPr/>
      <w:r>
        <w:rPr/>
        <w:t xml:space="preserve">У 2016 році введено в дію Закон України “Про публічні закупівлі”, який забезпечив початок переведення всіх закупівель в Україні в електронний формат через електронну систему закупівель Prozorro. Запровадження електронних закупівель сприяло підвищенню прозорості процесу закупівель, водночас залишаються невирішеними ряд важливих проблемних питань, які негативно впливають на сферу. З метою часткового вирішення цих проблем 19.09.2019 прийнято нову редакцію Закону України, яка буде введена в дію з 19.04.2020.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“Через професіоналізацію, електронізацію публічних закупівель, інтеграцію Prozorro з іншими державними системами, побудову ризик-орієнтованої роботи контролюючих органів та гармонізацію правил зі стандартами ЄС підвищити ефективність публічних закупівель на 20%”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Станом на кінець 2021 року центральні органи виконавчої влади передали на ЦЗО більше 50 % власних закупівель та 100 % організацій замовників ввели уповноважених осіб</w:t>
      </w:r>
    </w:p>
    <w:p>
      <w:pPr>
        <w:numPr>
          <w:ilvl w:val="0"/>
          <w:numId w:val="1"/>
        </w:numPr>
      </w:pPr>
      <w:r>
        <w:rPr/>
        <w:t xml:space="preserve">Станом на кінець 2021 року 20 % допорогових закупівель здійснюються з використанням електронних каталогів</w:t>
      </w:r>
    </w:p>
    <w:p>
      <w:pPr>
        <w:numPr>
          <w:ilvl w:val="0"/>
          <w:numId w:val="1"/>
        </w:numPr>
      </w:pPr>
      <w:r>
        <w:rPr/>
        <w:t xml:space="preserve">До кінця 2020 року збільшено на 50 % кількість укладених рамкових угод у порівнянні з поточним періодом</w:t>
      </w:r>
    </w:p>
    <w:p>
      <w:pPr>
        <w:numPr>
          <w:ilvl w:val="0"/>
          <w:numId w:val="1"/>
        </w:numPr>
      </w:pPr>
      <w:r>
        <w:rPr/>
        <w:t xml:space="preserve">До кінця 2023 року 100 % інформації про учасника, яка міститься у відкритих державних системах та реєстрах, перевіряється автоматично</w:t>
      </w:r>
    </w:p>
    <w:p>
      <w:pPr>
        <w:numPr>
          <w:ilvl w:val="0"/>
          <w:numId w:val="1"/>
        </w:numPr>
      </w:pPr>
      <w:r>
        <w:rPr/>
        <w:t xml:space="preserve">До кінця 2022 року збільшено до 90 % машиночитних даних в електронній системі закупівель у відповідності до стандартів відкритих даних</w:t>
      </w:r>
    </w:p>
    <w:p>
      <w:pPr>
        <w:numPr>
          <w:ilvl w:val="0"/>
          <w:numId w:val="1"/>
        </w:numPr>
      </w:pPr>
      <w:r>
        <w:rPr/>
        <w:t xml:space="preserve">До кінця 2021 року реалізовано можливість укладання в електронному вигляді договорів про закупівлю</w:t>
      </w:r>
    </w:p>
    <w:p>
      <w:pPr>
        <w:numPr>
          <w:ilvl w:val="0"/>
          <w:numId w:val="1"/>
        </w:numPr>
      </w:pPr>
      <w:r>
        <w:rPr/>
        <w:t xml:space="preserve">Станом на кінець 2023 року забезпечено електронну оплату за електронними договорами</w:t>
      </w:r>
    </w:p>
    <w:p>
      <w:pPr>
        <w:numPr>
          <w:ilvl w:val="0"/>
          <w:numId w:val="1"/>
        </w:numPr>
      </w:pPr>
      <w:r>
        <w:rPr/>
        <w:t xml:space="preserve">Станом на кінець 2021 року збільшено до 70 % моніторинг процедур за результатами спрацювання автоматичних ризик індикаторів від загальної кількості всіх процедур, що моніторяться Держаудитслужбою</w:t>
      </w:r>
    </w:p>
    <w:p>
      <w:pPr>
        <w:numPr>
          <w:ilvl w:val="0"/>
          <w:numId w:val="1"/>
        </w:numPr>
      </w:pPr>
      <w:r>
        <w:rPr/>
        <w:t xml:space="preserve">На кінець 2022 року законодавчо регламентовано 100 % заходів, (від тих що потребують законодавчого регламентування), визначених планом заходів щодо реалізації Стратегії реформування системи публічних закупівель (“дорожньої карти”), затвердженого розпорядженням Кабінету Міністрів України від 24.02.2016 № 175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Повна професіоналізація сфери публічних закупівель шляхом переходу на формат професійних закупівельників, та/або використання послуг централізованих закупівельних організацій (ЦЗО)</w:t>
      </w:r>
    </w:p>
    <w:p>
      <w:pPr>
        <w:numPr>
          <w:ilvl w:val="0"/>
          <w:numId w:val="1"/>
        </w:numPr>
      </w:pPr>
      <w:r>
        <w:rPr/>
        <w:t xml:space="preserve">Автоматизація закупівельних процесів, розробка та реалізація в системі додаткових електронних інструментів та технічних рішень</w:t>
      </w:r>
    </w:p>
    <w:p>
      <w:pPr>
        <w:numPr>
          <w:ilvl w:val="0"/>
          <w:numId w:val="1"/>
        </w:numPr>
      </w:pPr>
      <w:r>
        <w:rPr/>
        <w:t xml:space="preserve">Здійснення інтеграції електронної системи закупівель з іншими державними електронними системами та реєстрами, запровадження електронної тендерної документації у складі електронної системи закупівель, створення механізмів укладення в електронному вигляді договорів про закупівлю</w:t>
      </w:r>
    </w:p>
    <w:p>
      <w:pPr>
        <w:numPr>
          <w:ilvl w:val="0"/>
          <w:numId w:val="1"/>
        </w:numPr>
      </w:pPr>
      <w:r>
        <w:rPr/>
        <w:t xml:space="preserve">Посилення функції контролю шляхом розвитку та удосконалення системи автоматичних ризик індикаторів для об'єктивного та своєчасного виявлення порушення та посилення відповідальності за вчинені порушення</w:t>
      </w:r>
    </w:p>
    <w:p>
      <w:pPr>
        <w:numPr>
          <w:ilvl w:val="0"/>
          <w:numId w:val="1"/>
        </w:numPr>
      </w:pPr>
      <w:r>
        <w:rPr/>
        <w:t xml:space="preserve">Гармонізація законодавства України у сфері закупівель до стандартів ЄС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E68ECD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_ftn1" TargetMode="External"/><Relationship Id="rId8" Type="http://schemas.openxmlformats.org/officeDocument/2006/relationships/hyperlink" Target="_ftnre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2020-02-10T10:29:36+02:00</dcterms:created>
  <dcterms:modified xsi:type="dcterms:W3CDTF">2020-02-10T10:29:36+02:00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