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ПРОЕКТ Концепції державної політики щодо досягнення цілі «7.8 Власники творів та винаходів захищені та отримують справедливу винагороду» Програми діяльності Кабінету Міністрів України</w:t>
      </w:r>
    </w:p>
    <w:p>
      <w:pPr/>
      <w:r>
        <w:rPr>
          <w:b w:val="1"/>
          <w:bCs w:val="1"/>
        </w:rPr>
        <w:t xml:space="preserve">1.	ПРОБЛЕМА ПОЛІТИКИ</w:t>
      </w:r>
    </w:p>
    <w:p>
      <w:pPr/>
      <w:r>
        <w:rPr>
          <w:b w:val="1"/>
          <w:bCs w:val="1"/>
        </w:rPr>
        <w:t xml:space="preserve">1.1. Проблема</w:t>
      </w:r>
    </w:p>
    <w:p>
      <w:pPr/>
      <w:r>
        <w:rPr/>
        <w:t xml:space="preserve">Слабкий захист прав інтелектуальної власності (ІВ), що призводить до низьких сум роялті, які отримують правовласники. Бізнес потерпає від патентного тролінгу та незаконного використання їхньої інтелектуальної власності</w:t>
      </w:r>
    </w:p>
    <w:p>
      <w:pPr/>
      <w:r>
        <w:rPr>
          <w:b w:val="1"/>
          <w:bCs w:val="1"/>
        </w:rPr>
        <w:t xml:space="preserve">1.2. Носій проблеми </w:t>
      </w:r>
    </w:p>
    <w:p>
      <w:pPr/>
      <w:r>
        <w:rPr/>
        <w:t xml:space="preserve">творчі особистості (винахідники, автори та інші творці ІВ), бізнес та сектор науки, що забезпечують створення і використання ІВ</w:t>
      </w:r>
    </w:p>
    <w:p>
      <w:pPr/>
      <w:r>
        <w:rPr>
          <w:b w:val="1"/>
          <w:bCs w:val="1"/>
        </w:rPr>
        <w:t xml:space="preserve">1.3. Масштаб проблеми: Загальнонаціональна</w:t>
      </w:r>
    </w:p>
    <w:p>
      <w:pPr/>
      <w:r>
        <w:rPr>
          <w:b w:val="1"/>
          <w:bCs w:val="1"/>
        </w:rPr>
        <w:t xml:space="preserve">1.4. Гострота проблеми: Гостра</w:t>
      </w:r>
    </w:p>
    <w:p>
      <w:pPr/>
      <w:r>
        <w:rPr>
          <w:b w:val="1"/>
          <w:bCs w:val="1"/>
        </w:rPr>
        <w:t xml:space="preserve">1.5. Динаміка проблеми:  Нейтральна</w:t>
      </w:r>
    </w:p>
    <w:p>
      <w:pPr/>
      <w:r>
        <w:rPr/>
        <w:t xml:space="preserve">В сфері авторського права</w:t>
      </w:r>
      <w:r>
        <w:rPr>
          <w:i w:val="1"/>
          <w:iCs w:val="1"/>
        </w:rPr>
        <w:t xml:space="preserve"> – нейтральна.</w:t>
      </w:r>
      <w:r>
        <w:rPr/>
        <w:t xml:space="preserve"> Суми винагороди за використання об’єктів авторського права і суміжних прав, що зібрана та виплачена організаціями колективного управління за період 2014-2018 років має тенденції до поступового зростання. Проте, сам розмір ринку неспівставний з розмірами української економіки. Наприклад, з урахуванням розміру економіки у відносних показниках (зібрані роялті/ВВП) в Польщі і Чехії збирається приблизно в 6 разів більше роялті, ніж в Україні.</w:t>
      </w:r>
    </w:p>
    <w:p>
      <w:pPr/>
      <w:r>
        <w:rPr/>
        <w:t xml:space="preserve">Сума, що зібрана ОКУ за використання об’єктів авторського прав і суміжних прав, грн.</w:t>
      </w:r>
    </w:p>
    <w:p>
      <w:pPr/>
      <w:r>
        <w:rPr>
          <w:b w:val="1"/>
          <w:bCs w:val="1"/>
        </w:rPr>
        <w:t xml:space="preserve">2014</w:t>
      </w:r>
      <w:r>
        <w:rPr/>
        <w:t xml:space="preserve"> - 59 909 581,00</w:t>
      </w:r>
    </w:p>
    <w:p>
      <w:pPr/>
      <w:r>
        <w:rPr>
          <w:b w:val="1"/>
          <w:bCs w:val="1"/>
        </w:rPr>
        <w:t xml:space="preserve">2015 - </w:t>
      </w:r>
      <w:r>
        <w:rPr/>
        <w:t xml:space="preserve">71 498 823,00</w:t>
      </w:r>
    </w:p>
    <w:p>
      <w:pPr/>
      <w:r>
        <w:rPr>
          <w:b w:val="1"/>
          <w:bCs w:val="1"/>
        </w:rPr>
        <w:t xml:space="preserve">2016 - </w:t>
      </w:r>
      <w:r>
        <w:rPr/>
        <w:t xml:space="preserve">83 483 778,00</w:t>
      </w:r>
    </w:p>
    <w:p>
      <w:pPr/>
      <w:r>
        <w:rPr>
          <w:b w:val="1"/>
          <w:bCs w:val="1"/>
        </w:rPr>
        <w:t xml:space="preserve">2017 </w:t>
      </w:r>
      <w:r>
        <w:rPr/>
        <w:t xml:space="preserve">- 120 993 021,00</w:t>
      </w:r>
    </w:p>
    <w:p>
      <w:pPr/>
      <w:r>
        <w:rPr>
          <w:b w:val="1"/>
          <w:bCs w:val="1"/>
        </w:rPr>
        <w:t xml:space="preserve">2018 - </w:t>
      </w:r>
      <w:r>
        <w:rPr/>
        <w:t xml:space="preserve">131 831 638,00</w:t>
      </w:r>
    </w:p>
    <w:p>
      <w:pPr/>
      <w:r>
        <w:rPr/>
        <w:t xml:space="preserve">Сума, яку ОКУ виплатили суб’єктам авторського права і суміжних прав (правовласникам), грн.</w:t>
      </w:r>
    </w:p>
    <w:p>
      <w:pPr/>
      <w:r>
        <w:rPr>
          <w:b w:val="1"/>
          <w:bCs w:val="1"/>
        </w:rPr>
        <w:t xml:space="preserve">2014 - </w:t>
      </w:r>
      <w:r>
        <w:rPr/>
        <w:t xml:space="preserve">37 367 336,00</w:t>
      </w:r>
    </w:p>
    <w:p>
      <w:pPr/>
      <w:r>
        <w:rPr>
          <w:b w:val="1"/>
          <w:bCs w:val="1"/>
        </w:rPr>
        <w:t xml:space="preserve">2015 -</w:t>
      </w:r>
      <w:r>
        <w:rPr/>
        <w:t xml:space="preserve"> 40 088 814,00</w:t>
      </w:r>
    </w:p>
    <w:p>
      <w:pPr/>
      <w:r>
        <w:rPr>
          <w:b w:val="1"/>
          <w:bCs w:val="1"/>
        </w:rPr>
        <w:t xml:space="preserve">2016 -</w:t>
      </w:r>
      <w:r>
        <w:rPr/>
        <w:t xml:space="preserve"> 50 945 753,00</w:t>
      </w:r>
    </w:p>
    <w:p>
      <w:pPr/>
      <w:r>
        <w:rPr>
          <w:b w:val="1"/>
          <w:bCs w:val="1"/>
        </w:rPr>
        <w:t xml:space="preserve">2017 - </w:t>
      </w:r>
      <w:r>
        <w:rPr/>
        <w:t xml:space="preserve">64 343 954,00</w:t>
      </w:r>
    </w:p>
    <w:p>
      <w:pPr/>
      <w:r>
        <w:rPr>
          <w:b w:val="1"/>
          <w:bCs w:val="1"/>
        </w:rPr>
        <w:t xml:space="preserve">2018 - </w:t>
      </w:r>
      <w:r>
        <w:rPr/>
        <w:t xml:space="preserve">100 211 356,00</w:t>
      </w:r>
    </w:p>
    <w:p>
      <w:pPr/>
      <w:r>
        <w:rPr/>
        <w:t xml:space="preserve">В сфері патентного права</w:t>
      </w:r>
      <w:r>
        <w:rPr>
          <w:i w:val="1"/>
          <w:iCs w:val="1"/>
        </w:rPr>
        <w:t xml:space="preserve"> - </w:t>
      </w:r>
      <w:r>
        <w:rPr/>
        <w:t xml:space="preserve">після запровадження post-grant opposition та запуску Вищого суду з питань інтелектуальної власності можна буде почати відслідковувати кількість та динаміку оскаржень та рішень</w:t>
      </w:r>
    </w:p>
    <w:p>
      <w:pPr/>
      <w:r>
        <w:rPr>
          <w:b w:val="1"/>
          <w:bCs w:val="1"/>
        </w:rPr>
        <w:t xml:space="preserve">1.6. Причини проблеми</w:t>
      </w:r>
    </w:p>
    <w:p>
      <w:pPr/>
      <w:r>
        <w:rPr/>
        <w:t xml:space="preserve">Причина 1 - До прийняття Закону України від 15.05.2018 № 2415-VIII “Про ефективне управління майновими правами правовласників у сфері авторського права і (або) суміжних прав” на ринку авторського права існував хаос, що виник у зв'язку із функціонуванням декількох паралельних організацій, які управляють одними й тими ж категоріями прав</w:t>
      </w:r>
    </w:p>
    <w:p>
      <w:pPr/>
      <w:r>
        <w:rPr/>
        <w:t xml:space="preserve">Причина 2 - Система збору, розподілу та виплати авторської винагороди була не прозорою та корумпованою</w:t>
      </w:r>
    </w:p>
    <w:p>
      <w:pPr/>
      <w:r>
        <w:rPr/>
        <w:t xml:space="preserve">Причина 3 - Відсутність політичної волі щодо законодавчого врегулювання діяльності організацій колективного управління у відповідності до вимог права ЄС</w:t>
      </w:r>
    </w:p>
    <w:p>
      <w:pPr/>
      <w:r>
        <w:rPr>
          <w:b w:val="1"/>
          <w:bCs w:val="1"/>
        </w:rPr>
        <w:t xml:space="preserve">1.7. Показники ефективності політики</w:t>
      </w:r>
    </w:p>
    <w:p>
      <w:pPr>
        <w:numPr>
          <w:ilvl w:val="0"/>
          <w:numId w:val="1"/>
        </w:numPr>
      </w:pPr>
      <w:r>
        <w:rPr/>
        <w:t xml:space="preserve">Зростання сплати роялті власникам прав у 1,5 – 2 рази</w:t>
      </w:r>
    </w:p>
    <w:p>
      <w:pPr/>
      <w:r>
        <w:rPr>
          <w:b w:val="1"/>
          <w:bCs w:val="1"/>
        </w:rPr>
        <w:t xml:space="preserve">1.8. Опис чинної державної політики щодо вирішення проблеми / її причин.</w:t>
      </w:r>
    </w:p>
    <w:p>
      <w:pPr/>
      <w:r>
        <w:rPr/>
        <w:t xml:space="preserve">Мінекономіки є головним органом у системі центральних органів виконавчої влади, що забезпечує формування та реалізує державну політику у сфері інтелектуальної власності.</w:t>
      </w:r>
    </w:p>
    <w:p>
      <w:pPr/>
      <w:r>
        <w:rPr/>
        <w:t xml:space="preserve">На сьогодні завершується реалізації Концепції реформування державної системи правової охорони інтелектуальної власності в Україні, схвалено розпорядженням Кабінету Міністрів України від 01.06.2016 № 402 (інституційній зміни, організації колективного управління, Угода про асоціацію).</w:t>
      </w:r>
    </w:p>
    <w:p>
      <w:pPr/>
      <w:r>
        <w:rPr/>
        <w:t xml:space="preserve">Важливим напрямом державної політики у сфері ІВ є виконання Україною зобов’язань в рамках Угоди про асоціацію з ЄС в частині інтелектуальної власності та реалізація проектів, передбачених Програмою співробітництва між Мінекономіки та Всесвітньою організацією інтелектуальної власності (ВОІВ).</w:t>
      </w:r>
    </w:p>
    <w:p>
      <w:pPr/>
      <w:r>
        <w:rPr/>
        <w:t xml:space="preserve">Мінекономіки за підтримки ВОІВ завершує розробку Національної стратегії розвитку сфери інтелектуальної власності в Україні на 2020-2025 роки</w:t>
      </w:r>
    </w:p>
    <w:p>
      <w:pPr/>
      <w:r>
        <w:rPr>
          <w:b w:val="1"/>
          <w:bCs w:val="1"/>
        </w:rPr>
        <w:t xml:space="preserve">2.	ПРОПОНОВАНИЙ КУРС ПОЛІТИКИ</w:t>
      </w:r>
    </w:p>
    <w:p>
      <w:pPr/>
      <w:r>
        <w:rPr>
          <w:b w:val="1"/>
          <w:bCs w:val="1"/>
        </w:rPr>
        <w:t xml:space="preserve">2.1. Підціль 1 “Створимо електронний реєстр авторського права – 2020-2021 роки”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Скорочення загального строку обробки заявки – до 1 місяця</w:t>
      </w:r>
    </w:p>
    <w:p>
      <w:pPr/>
      <w:r>
        <w:rPr>
          <w:b w:val="1"/>
          <w:bCs w:val="1"/>
        </w:rPr>
        <w:t xml:space="preserve">Завдання до підцілі 1: </w:t>
      </w:r>
    </w:p>
    <w:p>
      <w:pPr>
        <w:numPr>
          <w:ilvl w:val="0"/>
          <w:numId w:val="1"/>
        </w:numPr>
      </w:pPr>
      <w:r>
        <w:rPr/>
        <w:t xml:space="preserve">Електронна подача заявок на реєстрацію об’єктів авторського права та електронний реєстр авторського права забезпечить заявникам сучасний та зручний спосіб подання заявок</w:t>
      </w:r>
    </w:p>
    <w:p>
      <w:pPr/>
      <w:r>
        <w:rPr>
          <w:b w:val="1"/>
          <w:bCs w:val="1"/>
        </w:rPr>
        <w:t xml:space="preserve">2.2. Підціль 2 “Забезпечимо високу якість експертизи через підвищення кваліфікації та належні умови праці експертів - до кінця 2023 року”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Збереження та залучення нових висококваліфікованих кадрів</w:t>
      </w:r>
    </w:p>
    <w:p>
      <w:pPr>
        <w:numPr>
          <w:ilvl w:val="0"/>
          <w:numId w:val="1"/>
        </w:numPr>
      </w:pPr>
      <w:r>
        <w:rPr/>
        <w:t xml:space="preserve">Кількість експертів патентного відомства відповідає вимогам статусу Міжнародного пошукового органу</w:t>
      </w:r>
    </w:p>
    <w:p>
      <w:pPr/>
      <w:r>
        <w:rPr>
          <w:b w:val="1"/>
          <w:bCs w:val="1"/>
        </w:rPr>
        <w:t xml:space="preserve">Завдання до підцілі 2: </w:t>
      </w:r>
    </w:p>
    <w:p>
      <w:pPr>
        <w:numPr>
          <w:ilvl w:val="0"/>
          <w:numId w:val="1"/>
        </w:numPr>
      </w:pPr>
      <w:r>
        <w:rPr/>
        <w:t xml:space="preserve">Забезпечення підвищення кваліфікації експертів до рівня експертів ЄПВ та забезпечення високого рівня їх мотивації, в тому числі шляхом підвищення рівня оплати праці</w:t>
      </w:r>
    </w:p>
    <w:p>
      <w:pPr/>
      <w:r>
        <w:rPr>
          <w:b w:val="1"/>
          <w:bCs w:val="1"/>
        </w:rPr>
        <w:t xml:space="preserve">2.3. Підціль 3 “Вдосконалимо процедури акредитації організацій колективного управління (ОКУ) - до кінця 2019 року”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затвердження Положення про комісію з акредитації організацій колективного управління у новій редакції, яким встановлено обов’язок для кандидатів у члени комісії, що представляють користувачів та правовласників, надавати додаткові відомості щодо досвіду роботи, обсягів винагороди, членства у міжнародних організаціях</w:t>
      </w:r>
    </w:p>
    <w:p>
      <w:pPr/>
      <w:r>
        <w:rPr>
          <w:b w:val="1"/>
          <w:bCs w:val="1"/>
        </w:rPr>
        <w:t xml:space="preserve">Завдання до підцілі 3: </w:t>
      </w:r>
    </w:p>
    <w:p>
      <w:pPr>
        <w:numPr>
          <w:ilvl w:val="0"/>
          <w:numId w:val="1"/>
        </w:numPr>
      </w:pPr>
      <w:r>
        <w:rPr/>
        <w:t xml:space="preserve">Створення компетентної комісії з акредитації ОКУ</w:t>
      </w:r>
    </w:p>
    <w:p>
      <w:pPr/>
      <w:r>
        <w:rPr>
          <w:b w:val="1"/>
          <w:bCs w:val="1"/>
        </w:rPr>
        <w:t xml:space="preserve">2.4. Підціль 4 “Забезпечимо запровадження акредитованих ОКУ для 100 % сфер розширеного та обов’язкового колективного управління – до кінця 2020 року”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Акредитовано 5 організацій колективного управління в 2 сферах розширеного та 3 сферах обов’язкового колективного управління</w:t>
      </w:r>
    </w:p>
    <w:p>
      <w:pPr/>
      <w:r>
        <w:rPr>
          <w:b w:val="1"/>
          <w:bCs w:val="1"/>
        </w:rPr>
        <w:t xml:space="preserve">Завдання до підцілі 4: </w:t>
      </w:r>
    </w:p>
    <w:p>
      <w:pPr>
        <w:numPr>
          <w:ilvl w:val="0"/>
          <w:numId w:val="1"/>
        </w:numPr>
      </w:pPr>
      <w:r>
        <w:rPr/>
        <w:t xml:space="preserve">Акредитації ОКУ у всіх сферах розширеного та обов’язкового колективного управління майновими правами</w:t>
      </w:r>
    </w:p>
    <w:p>
      <w:pPr/>
      <w:r>
        <w:rPr>
          <w:b w:val="1"/>
          <w:bCs w:val="1"/>
        </w:rPr>
        <w:t xml:space="preserve">2.5. Підціль 5 “Запровадимо громадський моніторинг діяльності акредитованих ОКУ – 2020-2021 роки”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100 % організацій колективного управління, зареєстрованих Мінекономіки, мають власний веб-сайт, на якому підтримується в актуальному стані інформація, оприлюднення якої передбачено статтею 10 Закону України “Про ефективне управління майновими правами правовласників у сфері авторського права і (або) суміжних прав”</w:t>
      </w:r>
    </w:p>
    <w:p>
      <w:pPr>
        <w:numPr>
          <w:ilvl w:val="0"/>
          <w:numId w:val="1"/>
        </w:numPr>
      </w:pPr>
      <w:r>
        <w:rPr/>
        <w:t xml:space="preserve">Кількість скарг правовласників, направлених до Мінекономіки щодо незаконної діяльності організацій колективного управління дорівнює нулю</w:t>
      </w:r>
    </w:p>
    <w:p>
      <w:pPr/>
      <w:r>
        <w:rPr>
          <w:b w:val="1"/>
          <w:bCs w:val="1"/>
        </w:rPr>
        <w:t xml:space="preserve">Завдання до підцілі 5: </w:t>
      </w:r>
    </w:p>
    <w:p>
      <w:pPr>
        <w:numPr>
          <w:ilvl w:val="0"/>
          <w:numId w:val="1"/>
        </w:numPr>
      </w:pPr>
      <w:r>
        <w:rPr/>
        <w:t xml:space="preserve">Прозорість збору та розподілу організаціями колективного управління винагороди та здійснення виплати винагороди авторам та іншим правовласникам</w:t>
      </w:r>
    </w:p>
    <w:p>
      <w:pPr/>
      <w:r>
        <w:rPr>
          <w:b w:val="1"/>
          <w:bCs w:val="1"/>
        </w:rPr>
        <w:t xml:space="preserve">2.6. Підціль 6 “Створимо Національний орган інтелектуальної власності та забезпечимо його належне функціонування - до кінця 2020 року”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Єдине вікно з видачі патентів (свідоцтв)</w:t>
      </w:r>
    </w:p>
    <w:p>
      <w:pPr/>
      <w:r>
        <w:rPr>
          <w:b w:val="1"/>
          <w:bCs w:val="1"/>
        </w:rPr>
        <w:t xml:space="preserve">Завдання до підцілі 6: </w:t>
      </w:r>
    </w:p>
    <w:p>
      <w:pPr>
        <w:numPr>
          <w:ilvl w:val="0"/>
          <w:numId w:val="1"/>
        </w:numPr>
      </w:pPr>
      <w:r>
        <w:rPr/>
        <w:t xml:space="preserve">Запровадження прозорої та ефективної дворівневої системи державного управління сферою інтелектуальної власності</w:t>
      </w:r>
    </w:p>
    <w:p>
      <w:pPr/>
      <w:r>
        <w:rPr>
          <w:b w:val="1"/>
          <w:bCs w:val="1"/>
        </w:rPr>
        <w:t xml:space="preserve">2.7. Підціль 7 “Удосконалимо інститут державних інспекторів з питань інтелектуальної власності - до кінця 2021 року”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Державні інспектори з питань інтелектуальної власності мають правові підстави для здійснення планових та позапланових перевірок</w:t>
      </w:r>
    </w:p>
    <w:p>
      <w:pPr/>
      <w:r>
        <w:rPr>
          <w:b w:val="1"/>
          <w:bCs w:val="1"/>
        </w:rPr>
        <w:t xml:space="preserve">Завдання до підцілі 7: </w:t>
      </w:r>
    </w:p>
    <w:p>
      <w:pPr>
        <w:numPr>
          <w:ilvl w:val="0"/>
          <w:numId w:val="1"/>
        </w:numPr>
      </w:pPr>
      <w:r>
        <w:rPr/>
        <w:t xml:space="preserve">Удосконалення нормативно-правової бази для реалізації державними інспекторами контрольних повноважень в рамках сучасної ризик-орієнтованої моделі</w:t>
      </w:r>
    </w:p>
    <w:p>
      <w:pPr/>
      <w:r>
        <w:rPr>
          <w:b w:val="1"/>
          <w:bCs w:val="1"/>
        </w:rPr>
        <w:t xml:space="preserve">2.8. Підціль 8 “Позбавлення держави необхідності виконувати невластиві їй функції (колективне управління) – до кінця 2020 року”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Ліквідація юридичної особи ДО “УААСП”</w:t>
      </w:r>
    </w:p>
    <w:p>
      <w:pPr/>
      <w:r>
        <w:rPr>
          <w:b w:val="1"/>
          <w:bCs w:val="1"/>
        </w:rPr>
        <w:t xml:space="preserve">Завдання до підцілі 8: </w:t>
      </w:r>
    </w:p>
    <w:p>
      <w:pPr>
        <w:numPr>
          <w:ilvl w:val="0"/>
          <w:numId w:val="1"/>
        </w:numPr>
      </w:pPr>
      <w:r>
        <w:rPr/>
        <w:t xml:space="preserve">Передача прав на збір роялті що наразі є в ДО “УААСП” новій громадській організації, створеної авторами-членами ДО “УААСП”</w:t>
      </w:r>
    </w:p>
    <w:p>
      <w:pPr/>
      <w:r>
        <w:rPr>
          <w:b w:val="1"/>
          <w:bCs w:val="1"/>
        </w:rPr>
        <w:t xml:space="preserve">2.9. Підціль 9 “Запровадимо електронну подачу заявок на реєстрацію об’єктів промислової власності - до кінця 2020 року”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Збільшення кількості надходжень заявок на об’єкти промислової власності через систему електронного подання до 25 % від загальної кількості</w:t>
      </w:r>
    </w:p>
    <w:p>
      <w:pPr/>
      <w:r>
        <w:rPr>
          <w:b w:val="1"/>
          <w:bCs w:val="1"/>
        </w:rPr>
        <w:t xml:space="preserve">Завдання до підцілі 9: </w:t>
      </w:r>
    </w:p>
    <w:p>
      <w:pPr>
        <w:numPr>
          <w:ilvl w:val="0"/>
          <w:numId w:val="1"/>
        </w:numPr>
      </w:pPr>
      <w:r>
        <w:rPr/>
        <w:t xml:space="preserve">Надання заявникам сучасного та зручного способу подання заявок через електронну систему подання заявок на реєстрацію об’єктів промислової власності</w:t>
      </w:r>
    </w:p>
    <w:p>
      <w:pPr/>
      <w:r>
        <w:rPr>
          <w:b w:val="1"/>
          <w:bCs w:val="1"/>
        </w:rPr>
        <w:t xml:space="preserve">2.10. Підціль 10 “Забезпечимо встановлення максимального строку експертизи об’єктів інтелектуальної власності до 12 місяців, з середнім показником до 9 місяців – до 1 липня 2020 року”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Скорочення максимального строку експертизи заявок на торговельні марки до 12 місяців, при цьому середній показник – 9 місяців</w:t>
      </w:r>
    </w:p>
    <w:p>
      <w:pPr/>
      <w:r>
        <w:rPr>
          <w:b w:val="1"/>
          <w:bCs w:val="1"/>
        </w:rPr>
        <w:t xml:space="preserve">Завдання до підцілі 10: </w:t>
      </w:r>
    </w:p>
    <w:p>
      <w:pPr>
        <w:numPr>
          <w:ilvl w:val="0"/>
          <w:numId w:val="1"/>
        </w:numPr>
      </w:pPr>
      <w:r>
        <w:rPr/>
        <w:t xml:space="preserve">Надання заявникам можливостей швидко отримувати охоронні документи на торговельні марки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B4B41C1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2020-02-10T10:29:40+02:00</dcterms:created>
  <dcterms:modified xsi:type="dcterms:W3CDTF">2020-02-10T10:29:40+02:00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