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b w:val="1"/>
          <w:bCs w:val="1"/>
        </w:rPr>
        <w:t xml:space="preserve">ПРОЕКТ Концепції державної політики щодо досягнення цілі 8.1. «Українські пасажири та вантажовідправники мають доступ до якісної, безпечної залізниці» Програми діяльності Кабінету Міністрів України</w:t>
      </w:r>
    </w:p>
    <w:p>
      <w:pPr/>
      <w:r>
        <w:rPr>
          <w:b w:val="1"/>
          <w:bCs w:val="1"/>
        </w:rPr>
        <w:t xml:space="preserve">1.	ПРОБЛЕМА ПОЛІТИКИ</w:t>
      </w:r>
    </w:p>
    <w:p>
      <w:pPr/>
      <w:r>
        <w:rPr>
          <w:b w:val="1"/>
          <w:bCs w:val="1"/>
        </w:rPr>
        <w:t xml:space="preserve">1.1. Проблема</w:t>
      </w:r>
    </w:p>
    <w:p>
      <w:pPr/>
      <w:r>
        <w:rPr/>
        <w:t xml:space="preserve">Низька якість послуг залізничного транспорту для пасажирів та вантажовласників</w:t>
      </w:r>
    </w:p>
    <w:p>
      <w:pPr/>
      <w:r>
        <w:rPr>
          <w:b w:val="1"/>
          <w:bCs w:val="1"/>
        </w:rPr>
        <w:t xml:space="preserve">1.2. Носій проблеми </w:t>
      </w:r>
    </w:p>
    <w:p>
      <w:pPr/>
      <w:r>
        <w:rPr/>
        <w:t xml:space="preserve">Пасажири, що користуютсья послугами залізничного транспорту ,Вантажовідправники, що користуютсья послугами залізничного транспорту</w:t>
      </w:r>
    </w:p>
    <w:p>
      <w:pPr/>
      <w:r>
        <w:rPr>
          <w:b w:val="1"/>
          <w:bCs w:val="1"/>
        </w:rPr>
        <w:t xml:space="preserve">1.3. Масштаб проблеми: Загальнонаціональна</w:t>
      </w:r>
    </w:p>
    <w:p>
      <w:pPr/>
      <w:r>
        <w:rPr/>
        <w:t xml:space="preserve">У 2018 році перевезено залізничним транспортом 322,3 млн т вантажів1 (75 % перевезених вантажів генерують 80 великих компаній) та 158 млн. пасажирів2</w:t>
      </w:r>
    </w:p>
    <w:p>
      <w:pPr/>
      <w:r>
        <w:rPr>
          <w:b w:val="1"/>
          <w:bCs w:val="1"/>
        </w:rPr>
        <w:t xml:space="preserve">1.4. Гострота проблеми: Гостра</w:t>
      </w:r>
    </w:p>
    <w:p>
      <w:pPr/>
      <w:r>
        <w:rPr/>
        <w:t xml:space="preserve">Гострота проблеми для цілі 8.1. визначається окремо для вантажовідправників та пасажирів.</w:t>
      </w:r>
    </w:p>
    <w:p>
      <w:pPr/>
      <w:r>
        <w:rPr/>
        <w:t xml:space="preserve">Щодо вантажовідправників </w:t>
      </w:r>
      <w:r>
        <w:rPr>
          <w:b w:val="1"/>
          <w:bCs w:val="1"/>
        </w:rPr>
        <w:t xml:space="preserve">гостра</w:t>
      </w:r>
      <w:r>
        <w:rPr/>
        <w:t xml:space="preserve">. За підрахунками АТ «Укрзалізниця» та Європейської Бізнес Асоціації, залізниця генерує до 2,6 % ВВП та має ключове значення для підтримки експортного потенціалу України.</w:t>
      </w:r>
    </w:p>
    <w:p>
      <w:pPr/>
      <w:r>
        <w:rPr/>
        <w:t xml:space="preserve">Щодо пасажирів </w:t>
      </w:r>
      <w:r>
        <w:rPr>
          <w:b w:val="1"/>
          <w:bCs w:val="1"/>
        </w:rPr>
        <w:t xml:space="preserve">середня</w:t>
      </w:r>
      <w:r>
        <w:rPr/>
        <w:t xml:space="preserve">. Не зважаючи на те, що кількість пасажирів, що активно скаржаться на якість послуг залізниці, у відношенні до загальних обсягів пасажирських перевезень є незначною, такі пасажири є соціально активними, готовими: написати низку скарг до всіх владних інститутів (Офіс Президента, Кабінет Міністрів, Верховна Рада, Міністерство), звернутись до журналістів та перекрити залізничні колії.</w:t>
      </w:r>
    </w:p>
    <w:p>
      <w:pPr/>
      <w:r>
        <w:rPr>
          <w:b w:val="1"/>
          <w:bCs w:val="1"/>
        </w:rPr>
        <w:t xml:space="preserve">1.5. Динаміка проблеми:  Негативна</w:t>
      </w:r>
    </w:p>
    <w:p>
      <w:pPr/>
      <w:r>
        <w:rPr/>
        <w:t xml:space="preserve">Залізнична галузь показує стабільно негативну динаміку по всіх показниках роботи. Низька якість послуг залізничного транспорту призводить до зменшення частки галузі залізничного транспорту в перевезеннях вантажів та пасажирів, оскільки клієнти переходять на інші види транспорту (в основному, автомобільний)</w:t>
      </w:r>
    </w:p>
    <w:p>
      <w:pPr/>
      <w:r>
        <w:rPr/>
        <w:t xml:space="preserve">Частка залізничного транспорту в вантажообігу , %</w:t>
      </w:r>
    </w:p>
    <w:p>
      <w:pPr/>
      <w:r>
        <w:rPr>
          <w:b w:val="1"/>
          <w:bCs w:val="1"/>
        </w:rPr>
        <w:t xml:space="preserve">2014 р. - </w:t>
      </w:r>
      <w:r>
        <w:rPr/>
        <w:t xml:space="preserve">59,4</w:t>
      </w:r>
    </w:p>
    <w:p>
      <w:pPr/>
      <w:r>
        <w:rPr>
          <w:b w:val="1"/>
          <w:bCs w:val="1"/>
        </w:rPr>
        <w:t xml:space="preserve">2017 р. - </w:t>
      </w:r>
      <w:r>
        <w:rPr/>
        <w:t xml:space="preserve">52,7</w:t>
      </w:r>
    </w:p>
    <w:p>
      <w:pPr/>
      <w:r>
        <w:rPr>
          <w:b w:val="1"/>
          <w:bCs w:val="1"/>
        </w:rPr>
        <w:t xml:space="preserve">2018 р. - </w:t>
      </w:r>
      <w:r>
        <w:rPr/>
        <w:t xml:space="preserve">51,6</w:t>
      </w:r>
    </w:p>
    <w:p>
      <w:pPr/>
      <w:r>
        <w:rPr/>
        <w:t xml:space="preserve">Частка залізничного транспорту в пасажирообігу , %</w:t>
      </w:r>
    </w:p>
    <w:p>
      <w:pPr/>
      <w:r>
        <w:rPr>
          <w:b w:val="1"/>
          <w:bCs w:val="1"/>
        </w:rPr>
        <w:t xml:space="preserve">2014 р. - </w:t>
      </w:r>
      <w:r>
        <w:rPr/>
        <w:t xml:space="preserve">39,9</w:t>
      </w:r>
    </w:p>
    <w:p>
      <w:pPr/>
      <w:r>
        <w:rPr>
          <w:b w:val="1"/>
          <w:bCs w:val="1"/>
        </w:rPr>
        <w:t xml:space="preserve">2017 р. - </w:t>
      </w:r>
      <w:r>
        <w:rPr/>
        <w:t xml:space="preserve">33,5</w:t>
      </w:r>
    </w:p>
    <w:p>
      <w:pPr/>
      <w:r>
        <w:rPr>
          <w:b w:val="1"/>
          <w:bCs w:val="1"/>
        </w:rPr>
        <w:t xml:space="preserve">2018 р. - </w:t>
      </w:r>
      <w:r>
        <w:rPr/>
        <w:t xml:space="preserve">32,2</w:t>
      </w:r>
    </w:p>
    <w:p>
      <w:pPr/>
      <w:r>
        <w:rPr/>
        <w:t xml:space="preserve">Оборот вагону, діб</w:t>
      </w:r>
    </w:p>
    <w:p>
      <w:pPr/>
      <w:r>
        <w:rPr>
          <w:b w:val="1"/>
          <w:bCs w:val="1"/>
        </w:rPr>
        <w:t xml:space="preserve">2014 р. - </w:t>
      </w:r>
      <w:r>
        <w:rPr/>
        <w:t xml:space="preserve">8,66</w:t>
      </w:r>
    </w:p>
    <w:p>
      <w:pPr/>
      <w:r>
        <w:rPr>
          <w:b w:val="1"/>
          <w:bCs w:val="1"/>
        </w:rPr>
        <w:t xml:space="preserve">2017 р. - </w:t>
      </w:r>
      <w:r>
        <w:rPr/>
        <w:t xml:space="preserve">9,26</w:t>
      </w:r>
    </w:p>
    <w:p>
      <w:pPr/>
      <w:r>
        <w:rPr>
          <w:b w:val="1"/>
          <w:bCs w:val="1"/>
        </w:rPr>
        <w:t xml:space="preserve">2018 р. - </w:t>
      </w:r>
      <w:r>
        <w:rPr/>
        <w:t xml:space="preserve">10,35</w:t>
      </w:r>
    </w:p>
    <w:p>
      <w:pPr/>
      <w:r>
        <w:rPr/>
        <w:t xml:space="preserve">Локомотивний парк, од.</w:t>
      </w:r>
    </w:p>
    <w:p>
      <w:pPr/>
      <w:r>
        <w:rPr>
          <w:b w:val="1"/>
          <w:bCs w:val="1"/>
        </w:rPr>
        <w:t xml:space="preserve">2014 р. - </w:t>
      </w:r>
      <w:r>
        <w:rPr/>
        <w:t xml:space="preserve">3896</w:t>
      </w:r>
    </w:p>
    <w:p>
      <w:pPr/>
      <w:r>
        <w:rPr>
          <w:b w:val="1"/>
          <w:bCs w:val="1"/>
        </w:rPr>
        <w:t xml:space="preserve">2017 р. - </w:t>
      </w:r>
      <w:r>
        <w:rPr/>
        <w:t xml:space="preserve">3574</w:t>
      </w:r>
    </w:p>
    <w:p>
      <w:pPr/>
      <w:r>
        <w:rPr>
          <w:b w:val="1"/>
          <w:bCs w:val="1"/>
        </w:rPr>
        <w:t xml:space="preserve">2018 р. - </w:t>
      </w:r>
      <w:r>
        <w:rPr/>
        <w:t xml:space="preserve">3593</w:t>
      </w:r>
    </w:p>
    <w:p>
      <w:pPr/>
      <w:r>
        <w:rPr/>
        <w:t xml:space="preserve">Електросекції та дизельсекції од.</w:t>
      </w:r>
    </w:p>
    <w:p>
      <w:pPr/>
      <w:r>
        <w:rPr>
          <w:b w:val="1"/>
          <w:bCs w:val="1"/>
        </w:rPr>
        <w:t xml:space="preserve">2014 р. - </w:t>
      </w:r>
      <w:r>
        <w:rPr/>
        <w:t xml:space="preserve">1728</w:t>
      </w:r>
    </w:p>
    <w:p>
      <w:pPr/>
      <w:r>
        <w:rPr>
          <w:b w:val="1"/>
          <w:bCs w:val="1"/>
        </w:rPr>
        <w:t xml:space="preserve">2017 р. - </w:t>
      </w:r>
      <w:r>
        <w:rPr/>
        <w:t xml:space="preserve">1584</w:t>
      </w:r>
    </w:p>
    <w:p>
      <w:pPr/>
      <w:r>
        <w:rPr>
          <w:b w:val="1"/>
          <w:bCs w:val="1"/>
        </w:rPr>
        <w:t xml:space="preserve">2018 р. - </w:t>
      </w:r>
      <w:r>
        <w:rPr/>
        <w:t xml:space="preserve">1581</w:t>
      </w:r>
    </w:p>
    <w:p>
      <w:pPr/>
      <w:r>
        <w:rPr/>
        <w:t xml:space="preserve">Парк вантажних вагонів, тис. од.</w:t>
      </w:r>
    </w:p>
    <w:p>
      <w:pPr/>
      <w:r>
        <w:rPr>
          <w:b w:val="1"/>
          <w:bCs w:val="1"/>
        </w:rPr>
        <w:t xml:space="preserve">2014 р. - </w:t>
      </w:r>
      <w:r>
        <w:rPr/>
        <w:t xml:space="preserve">111,5</w:t>
      </w:r>
    </w:p>
    <w:p>
      <w:pPr/>
      <w:r>
        <w:rPr>
          <w:b w:val="1"/>
          <w:bCs w:val="1"/>
        </w:rPr>
        <w:t xml:space="preserve">2017 р. - </w:t>
      </w:r>
      <w:r>
        <w:rPr/>
        <w:t xml:space="preserve">104,1</w:t>
      </w:r>
    </w:p>
    <w:p>
      <w:pPr/>
      <w:r>
        <w:rPr>
          <w:b w:val="1"/>
          <w:bCs w:val="1"/>
        </w:rPr>
        <w:t xml:space="preserve">2018 р. - </w:t>
      </w:r>
      <w:r>
        <w:rPr/>
        <w:t xml:space="preserve">106,4</w:t>
      </w:r>
    </w:p>
    <w:p>
      <w:pPr/>
      <w:r>
        <w:rPr/>
        <w:t xml:space="preserve">Парк пасажирських вагонів, тис. од.</w:t>
      </w:r>
    </w:p>
    <w:p>
      <w:pPr/>
      <w:r>
        <w:rPr>
          <w:b w:val="1"/>
          <w:bCs w:val="1"/>
        </w:rPr>
        <w:t xml:space="preserve">2014 р. - </w:t>
      </w:r>
      <w:r>
        <w:rPr/>
        <w:t xml:space="preserve">5,4</w:t>
      </w:r>
    </w:p>
    <w:p>
      <w:pPr/>
      <w:r>
        <w:rPr>
          <w:b w:val="1"/>
          <w:bCs w:val="1"/>
        </w:rPr>
        <w:t xml:space="preserve">2017 р. - </w:t>
      </w:r>
      <w:r>
        <w:rPr/>
        <w:t xml:space="preserve">4,5</w:t>
      </w:r>
    </w:p>
    <w:p>
      <w:pPr/>
      <w:r>
        <w:rPr>
          <w:b w:val="1"/>
          <w:bCs w:val="1"/>
        </w:rPr>
        <w:t xml:space="preserve">2018 р. - </w:t>
      </w:r>
      <w:r>
        <w:rPr/>
        <w:t xml:space="preserve">4,3</w:t>
      </w:r>
    </w:p>
    <w:p>
      <w:pPr/>
      <w:r>
        <w:rPr/>
        <w:t xml:space="preserve">При продовженні чинної політики швидкість погіршення кількісних та якісних показників залізничного транспорту зросте.</w:t>
      </w:r>
    </w:p>
    <w:p>
      <w:pPr/>
      <w:r>
        <w:rPr>
          <w:b w:val="1"/>
          <w:bCs w:val="1"/>
        </w:rPr>
        <w:t xml:space="preserve">1.6. Причини проблеми</w:t>
      </w:r>
    </w:p>
    <w:p>
      <w:pPr/>
      <w:r>
        <w:rPr/>
        <w:t xml:space="preserve">Причина 1 - Економічна</w:t>
      </w:r>
    </w:p>
    <w:p>
      <w:pPr/>
      <w:r>
        <w:rPr/>
        <w:t xml:space="preserve">Причина 2 - Технічна</w:t>
      </w:r>
    </w:p>
    <w:p>
      <w:pPr/>
      <w:r>
        <w:rPr/>
        <w:t xml:space="preserve">Причина 3 - Організаційна</w:t>
      </w:r>
    </w:p>
    <w:p>
      <w:pPr/>
      <w:r>
        <w:rPr>
          <w:b w:val="1"/>
          <w:bCs w:val="1"/>
        </w:rPr>
        <w:t xml:space="preserve">1.7. Показники ефективності політики</w:t>
      </w:r>
    </w:p>
    <w:p>
      <w:pPr>
        <w:numPr>
          <w:ilvl w:val="0"/>
          <w:numId w:val="1"/>
        </w:numPr>
      </w:pPr>
      <w:r>
        <w:rPr/>
        <w:t xml:space="preserve">Зростання середньої безпечної швидкості поїздів щонайменше на 10%</w:t>
      </w:r>
    </w:p>
    <w:p>
      <w:pPr>
        <w:numPr>
          <w:ilvl w:val="0"/>
          <w:numId w:val="1"/>
        </w:numPr>
      </w:pPr>
      <w:r>
        <w:rPr/>
        <w:t xml:space="preserve">Зменшення кількості аварійних подій та інцидентів на 30%</w:t>
      </w:r>
    </w:p>
    <w:p>
      <w:pPr/>
      <w:r>
        <w:rPr>
          <w:b w:val="1"/>
          <w:bCs w:val="1"/>
        </w:rPr>
        <w:t xml:space="preserve">1.8. Опис чинної державної політики щодо вирішення проблеми / її причин.</w:t>
      </w:r>
    </w:p>
    <w:p>
      <w:pPr/>
      <w:r>
        <w:rPr/>
        <w:t xml:space="preserve">Наразі вирішення зазначених питань здійснюється відповідно до низки стратегічних документів (ДЦП 1390, НТСУ-2030) та Угоди про асоціацію України та ЄС проводиться робота з реформування галузі, результатом якої має стати відкриття конкурентного ринку залізничних перевезень.</w:t>
      </w:r>
    </w:p>
    <w:p>
      <w:pPr/>
      <w:r>
        <w:rPr/>
        <w:t xml:space="preserve">Проте подальша реалізація реформи неможлива без прийняття нового Закону України «Про залізничний транспорт України» та без здійснення структурної реформи АТ «Укрзалізниця». Також необхідно відмітити потребу в державній підтримці галузі, як це відбувається в країнах ЄС.</w:t>
      </w:r>
    </w:p>
    <w:p>
      <w:pPr/>
      <w:r>
        <w:rPr>
          <w:b w:val="1"/>
          <w:bCs w:val="1"/>
        </w:rPr>
        <w:t xml:space="preserve">2.	ПРОПОНОВАНИЙ КУРС ПОЛІТИКИ</w:t>
      </w:r>
    </w:p>
    <w:p>
      <w:pPr/>
      <w:r>
        <w:rPr>
          <w:b w:val="1"/>
          <w:bCs w:val="1"/>
        </w:rPr>
        <w:t xml:space="preserve">2.1. Підціль 1 “Фінансово ефективна діяльність залізничного транспорту”</w:t>
      </w:r>
    </w:p>
    <w:p>
      <w:pPr/>
      <w:r>
        <w:rPr>
          <w:b w:val="1"/>
          <w:bCs w:val="1"/>
        </w:rPr>
        <w:t xml:space="preserve">Показники результативності: </w:t>
      </w:r>
    </w:p>
    <w:p>
      <w:pPr>
        <w:numPr>
          <w:ilvl w:val="0"/>
          <w:numId w:val="1"/>
        </w:numPr>
      </w:pPr>
      <w:r>
        <w:rPr/>
        <w:t xml:space="preserve">Виведено на беззбитковий рівень діяльність залізничних перевезень</w:t>
      </w:r>
    </w:p>
    <w:p>
      <w:pPr/>
      <w:r>
        <w:rPr>
          <w:b w:val="1"/>
          <w:bCs w:val="1"/>
        </w:rPr>
        <w:t xml:space="preserve">Завдання до підцілі 1: </w:t>
      </w:r>
    </w:p>
    <w:p>
      <w:pPr>
        <w:numPr>
          <w:ilvl w:val="0"/>
          <w:numId w:val="1"/>
        </w:numPr>
      </w:pPr>
      <w:r>
        <w:rPr/>
        <w:t xml:space="preserve">Реформа системи тарифоутворення</w:t>
      </w:r>
    </w:p>
    <w:p>
      <w:pPr>
        <w:numPr>
          <w:ilvl w:val="0"/>
          <w:numId w:val="1"/>
        </w:numPr>
      </w:pPr>
      <w:r>
        <w:rPr/>
        <w:t xml:space="preserve">Переведення на контрактне замовлення суспільно важливих пасажирських залізничних перевезень</w:t>
      </w:r>
    </w:p>
    <w:p>
      <w:pPr>
        <w:numPr>
          <w:ilvl w:val="0"/>
          <w:numId w:val="1"/>
        </w:numPr>
      </w:pPr>
      <w:r>
        <w:rPr/>
        <w:t xml:space="preserve">Забезпечення фінансування розвитку та модернізації об’єктів інфраструктури</w:t>
      </w:r>
    </w:p>
    <w:p>
      <w:pPr/>
      <w:r>
        <w:rPr>
          <w:b w:val="1"/>
          <w:bCs w:val="1"/>
        </w:rPr>
        <w:t xml:space="preserve">2.2. Підціль 2 “Технічне переоснащення залізничного транспорту”</w:t>
      </w:r>
    </w:p>
    <w:p>
      <w:pPr/>
      <w:r>
        <w:rPr>
          <w:b w:val="1"/>
          <w:bCs w:val="1"/>
        </w:rPr>
        <w:t xml:space="preserve">Показники результативності: </w:t>
      </w:r>
    </w:p>
    <w:p>
      <w:pPr>
        <w:numPr>
          <w:ilvl w:val="0"/>
          <w:numId w:val="1"/>
        </w:numPr>
      </w:pPr>
      <w:r>
        <w:rPr/>
        <w:t xml:space="preserve">Оновлено 100 одиниць тягового рухомого складу, 100 пасажирських вагонів, 10 електропоїздів «Інтерсіті», проведено ремонт та оновлення 1500 км залізничних колій загального користування</w:t>
      </w:r>
    </w:p>
    <w:p>
      <w:pPr/>
      <w:r>
        <w:rPr>
          <w:b w:val="1"/>
          <w:bCs w:val="1"/>
        </w:rPr>
        <w:t xml:space="preserve">Завдання до підцілі 2: </w:t>
      </w:r>
    </w:p>
    <w:p>
      <w:pPr>
        <w:numPr>
          <w:ilvl w:val="0"/>
          <w:numId w:val="1"/>
        </w:numPr>
      </w:pPr>
      <w:r>
        <w:rPr/>
        <w:t xml:space="preserve">Оновлення тягового рухомого складу</w:t>
      </w:r>
    </w:p>
    <w:p>
      <w:pPr>
        <w:numPr>
          <w:ilvl w:val="0"/>
          <w:numId w:val="1"/>
        </w:numPr>
      </w:pPr>
      <w:r>
        <w:rPr/>
        <w:t xml:space="preserve">Оновлення пасажирського рухомого складу</w:t>
      </w:r>
    </w:p>
    <w:p>
      <w:pPr>
        <w:numPr>
          <w:ilvl w:val="0"/>
          <w:numId w:val="1"/>
        </w:numPr>
      </w:pPr>
      <w:r>
        <w:rPr/>
        <w:t xml:space="preserve">Ремонт інфраструктури до визначених Правилами технічної експлуатації показників</w:t>
      </w:r>
    </w:p>
    <w:p>
      <w:pPr>
        <w:numPr>
          <w:ilvl w:val="0"/>
          <w:numId w:val="1"/>
        </w:numPr>
      </w:pPr>
      <w:r>
        <w:rPr/>
        <w:t xml:space="preserve">Реалізація інфраструктурних проектів</w:t>
      </w:r>
    </w:p>
    <w:p>
      <w:pPr/>
      <w:r>
        <w:rPr>
          <w:b w:val="1"/>
          <w:bCs w:val="1"/>
        </w:rPr>
        <w:t xml:space="preserve">2.3. Підціль 3 “Реформа структури АТ «Укрзалізниця»; відкриття ринку залізничних перевезень”</w:t>
      </w:r>
    </w:p>
    <w:p>
      <w:pPr/>
      <w:r>
        <w:rPr>
          <w:b w:val="1"/>
          <w:bCs w:val="1"/>
        </w:rPr>
        <w:t xml:space="preserve">Показники результативності: </w:t>
      </w:r>
    </w:p>
    <w:p>
      <w:pPr>
        <w:numPr>
          <w:ilvl w:val="0"/>
          <w:numId w:val="1"/>
        </w:numPr>
      </w:pPr>
      <w:r>
        <w:rPr/>
        <w:t xml:space="preserve">Створений оператор інфраструктури, вантажний та пасажирський перевізники; від 2 перевізників отримали доступ до інфраструктури залізничного транспорту загального користування</w:t>
      </w:r>
    </w:p>
    <w:p>
      <w:pPr/>
      <w:r>
        <w:rPr>
          <w:b w:val="1"/>
          <w:bCs w:val="1"/>
        </w:rPr>
        <w:t xml:space="preserve">Завдання до підцілі 3: </w:t>
      </w:r>
    </w:p>
    <w:p>
      <w:pPr>
        <w:numPr>
          <w:ilvl w:val="0"/>
          <w:numId w:val="1"/>
        </w:numPr>
      </w:pPr>
      <w:r>
        <w:rPr/>
        <w:t xml:space="preserve">Відкриття конкурентного ринку залізничних перевезень</w:t>
      </w:r>
    </w:p>
    <w:p>
      <w:pPr>
        <w:numPr>
          <w:ilvl w:val="0"/>
          <w:numId w:val="1"/>
        </w:numPr>
      </w:pPr>
      <w:r>
        <w:rPr/>
        <w:t xml:space="preserve">Реструктуризація АТ «Укрзалізниця»</w:t>
      </w:r>
    </w:p>
    <w:p>
      <w:pPr>
        <w:numPr>
          <w:ilvl w:val="0"/>
          <w:numId w:val="1"/>
        </w:numPr>
      </w:pPr>
      <w:r>
        <w:rPr/>
        <w:t xml:space="preserve">Модернізація бізнес процесів АТ «Укрзалізниця»</w:t>
      </w:r>
    </w:p>
    <w:p>
      <w:pPr>
        <w:numPr>
          <w:ilvl w:val="0"/>
          <w:numId w:val="1"/>
        </w:numPr>
      </w:pPr>
      <w:r>
        <w:rPr/>
        <w:t xml:space="preserve">Переведення частини сервісів в приватний сектор (концесія залізничних вокзалів)</w:t>
      </w:r>
    </w:p>
    <w:p>
      <w:pPr>
        <w:sectPr>
          <w:pgSz w:orient="portrait" w:w="11905.511811024" w:h="16837.795275591"/>
          <w:pgMar w:top="1440" w:right="1440" w:bottom="1440" w:left="1440" w:header="720" w:footer="720" w:gutter="0"/>
          <w:cols w:num="1" w:space="720"/>
        </w:sectPr>
      </w:pPr>
    </w:p>
    <w:p>
      <w:pPr>
        <w:jc w:val="center"/>
      </w:pPr>
      <w:r>
        <w:rPr>
          <w:sz w:val="24"/>
          <w:szCs w:val="24"/>
          <w:b w:val="1"/>
          <w:bCs w:val="1"/>
        </w:rPr>
        <w:t xml:space="preserve">План реалізації державної політики для досягнення цілі</w:t>
      </w:r>
    </w:p>
    <w:tbl>
      <w:tblGrid>
        <w:gridCol/>
        <w:gridCol/>
        <w:gridCol/>
        <w:gridCol/>
        <w:gridCol/>
        <w:gridCol/>
      </w:tblGrid>
      <w:tblPr>
        <w:tblStyle w:val="Colspan Rowspan"/>
      </w:tblPr>
      <w:tr>
        <w:trPr/>
        <w:tc>
          <w:tcPr>
            <w:vAlign w:val="center"/>
          </w:tcPr>
          <w:p>
            <w:pPr>
              <w:jc w:val="center"/>
            </w:pPr>
            <w:r>
              <w:rPr>
                <w:sz w:val="20"/>
                <w:szCs w:val="20"/>
                <w:b w:val="1"/>
                <w:bCs w:val="1"/>
              </w:rPr>
              <w:t xml:space="preserve">Підціль</w:t>
            </w:r>
          </w:p>
        </w:tc>
        <w:tc>
          <w:tcPr>
            <w:vAlign w:val="center"/>
          </w:tcPr>
          <w:p>
            <w:pPr>
              <w:jc w:val="center"/>
            </w:pPr>
            <w:r>
              <w:rPr>
                <w:sz w:val="20"/>
                <w:szCs w:val="20"/>
                <w:b w:val="1"/>
                <w:bCs w:val="1"/>
              </w:rPr>
              <w:t xml:space="preserve">Завдання</w:t>
            </w:r>
          </w:p>
        </w:tc>
        <w:tc>
          <w:tcPr>
            <w:vAlign w:val="center"/>
          </w:tcPr>
          <w:p>
            <w:pPr>
              <w:jc w:val="center"/>
            </w:pPr>
            <w:r>
              <w:rPr>
                <w:sz w:val="20"/>
                <w:szCs w:val="20"/>
                <w:b w:val="1"/>
                <w:bCs w:val="1"/>
              </w:rPr>
              <w:t xml:space="preserve">Захід</w:t>
            </w:r>
          </w:p>
        </w:tc>
        <w:tc>
          <w:tcPr>
            <w:vAlign w:val="center"/>
          </w:tcPr>
          <w:p>
            <w:pPr>
              <w:jc w:val="center"/>
            </w:pPr>
            <w:r>
              <w:rPr>
                <w:sz w:val="20"/>
                <w:szCs w:val="20"/>
                <w:b w:val="1"/>
                <w:bCs w:val="1"/>
              </w:rPr>
              <w:t xml:space="preserve">Початок</w:t>
            </w:r>
          </w:p>
        </w:tc>
        <w:tc>
          <w:tcPr>
            <w:vAlign w:val="center"/>
          </w:tcPr>
          <w:p>
            <w:pPr>
              <w:jc w:val="center"/>
            </w:pPr>
            <w:r>
              <w:rPr>
                <w:sz w:val="20"/>
                <w:szCs w:val="20"/>
                <w:b w:val="1"/>
                <w:bCs w:val="1"/>
              </w:rPr>
              <w:t xml:space="preserve">Закінчення</w:t>
            </w:r>
          </w:p>
        </w:tc>
        <w:tc>
          <w:tcPr>
            <w:vAlign w:val="center"/>
          </w:tcPr>
          <w:p>
            <w:pPr>
              <w:jc w:val="center"/>
            </w:pPr>
            <w:r>
              <w:rPr>
                <w:sz w:val="20"/>
                <w:szCs w:val="20"/>
                <w:b w:val="1"/>
                <w:bCs w:val="1"/>
              </w:rPr>
              <w:t xml:space="preserve">Відповідальний орган влади</w:t>
            </w:r>
          </w:p>
        </w:tc>
      </w:tr>
      <w:tr>
        <w:trPr/>
        <w:tc>
          <w:tcPr>
            <w:vAlign w:val="center"/>
            <w:vMerge w:val="restart"/>
          </w:tcPr>
          <w:p>
            <w:pPr>
              <w:jc w:val="center"/>
            </w:pPr>
            <w:r>
              <w:rPr>
                <w:sz w:val="20"/>
                <w:szCs w:val="20"/>
              </w:rPr>
              <w:t xml:space="preserve">Фінансово ефективна діяльність залізничного транспорту</w:t>
            </w:r>
          </w:p>
        </w:tc>
        <w:tc>
          <w:tcPr>
            <w:vAlign w:val="center"/>
            <w:vMerge w:val="restart"/>
          </w:tcPr>
          <w:p>
            <w:pPr>
              <w:jc w:val="center"/>
            </w:pPr>
            <w:r>
              <w:rPr>
                <w:sz w:val="20"/>
                <w:szCs w:val="20"/>
              </w:rPr>
              <w:t xml:space="preserve">Реформа системи тарифоутворення</w:t>
            </w:r>
          </w:p>
        </w:tc>
        <w:tc>
          <w:tcPr>
            <w:vAlign w:val="center"/>
          </w:tcPr>
          <w:p>
            <w:pPr>
              <w:jc w:val="center"/>
            </w:pPr>
            <w:r>
              <w:rPr>
                <w:sz w:val="20"/>
                <w:szCs w:val="20"/>
              </w:rPr>
              <w:t xml:space="preserve">розробка проєкту Методики формування тарифу на обов’язкові послуги з доступу до інфраструктури залізничного транспорту загального користування стратегічного значення, здійснення попереднього розрахунку</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Мінінфраструктури</w:t>
            </w:r>
          </w:p>
        </w:tc>
      </w:tr>
      <w:tr>
        <w:trPr/>
        <w:tc>
          <w:tcPr>
            <w:vMerge w:val="continue"/>
          </w:tcPr>
          <w:p/>
        </w:tc>
        <w:tc>
          <w:tcPr>
            <w:vMerge w:val="continue"/>
          </w:tcPr>
          <w:p/>
        </w:tc>
        <w:tc>
          <w:tcPr>
            <w:vAlign w:val="center"/>
          </w:tcPr>
          <w:p>
            <w:pPr>
              <w:jc w:val="center"/>
            </w:pPr>
            <w:r>
              <w:rPr>
                <w:sz w:val="20"/>
                <w:szCs w:val="20"/>
              </w:rPr>
              <w:t xml:space="preserve">здійснення попереднього розрахунку тарифу на обов’язкові послуги з доступу до інфраструктури залізничного транспорту загального користування стратегічного значення, відповідно до розробленої Методики формування цього тарифу</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АТ «Укрзалізниця»</w:t>
            </w:r>
          </w:p>
        </w:tc>
      </w:tr>
      <w:tr>
        <w:trPr/>
        <w:tc>
          <w:tcPr>
            <w:vMerge w:val="continue"/>
          </w:tcPr>
          <w:p/>
        </w:tc>
        <w:tc>
          <w:tcPr>
            <w:vMerge w:val="continue"/>
          </w:tcPr>
          <w:p/>
        </w:tc>
        <w:tc>
          <w:tcPr>
            <w:vAlign w:val="center"/>
          </w:tcPr>
          <w:p>
            <w:pPr>
              <w:jc w:val="center"/>
            </w:pPr>
            <w:r>
              <w:rPr>
                <w:sz w:val="20"/>
                <w:szCs w:val="20"/>
              </w:rPr>
              <w:t xml:space="preserve">розробка проєктів нормативно-правових актів щодо інвестиційної складової тарифу на доступ до залізничної інфраструктури</w:t>
            </w:r>
          </w:p>
        </w:tc>
        <w:tc>
          <w:tcPr>
            <w:tcW w:w="1500" w:type="dxa"/>
            <w:vAlign w:val="center"/>
          </w:tcPr>
          <w:p>
            <w:pPr>
              <w:jc w:val="center"/>
            </w:pPr>
            <w:r>
              <w:rPr>
                <w:sz w:val="20"/>
                <w:szCs w:val="20"/>
              </w:rPr>
              <w:t xml:space="preserve">01-05-2020</w:t>
            </w:r>
          </w:p>
        </w:tc>
        <w:tc>
          <w:tcPr>
            <w:tcW w:w="1500" w:type="dxa"/>
            <w:vAlign w:val="center"/>
          </w:tcPr>
          <w:p>
            <w:pPr>
              <w:jc w:val="center"/>
            </w:pPr>
            <w:r>
              <w:rPr>
                <w:sz w:val="20"/>
                <w:szCs w:val="20"/>
              </w:rPr>
              <w:t xml:space="preserve">30-09-2021</w:t>
            </w:r>
          </w:p>
        </w:tc>
        <w:tc>
          <w:tcPr>
            <w:vAlign w:val="center"/>
          </w:tcPr>
          <w:p>
            <w:pPr>
              <w:jc w:val="center"/>
            </w:pPr>
            <w:r>
              <w:rPr>
                <w:sz w:val="20"/>
                <w:szCs w:val="20"/>
              </w:rPr>
              <w:t xml:space="preserve">Мінінфраструктури</w:t>
            </w:r>
          </w:p>
        </w:tc>
      </w:tr>
      <w:tr>
        <w:trPr/>
        <w:tc>
          <w:tcPr>
            <w:vMerge w:val="continue"/>
          </w:tcPr>
          <w:p/>
        </w:tc>
        <w:tc>
          <w:tcPr>
            <w:vAlign w:val="center"/>
            <w:vMerge w:val="restart"/>
          </w:tcPr>
          <w:p>
            <w:pPr>
              <w:jc w:val="center"/>
            </w:pPr>
            <w:r>
              <w:rPr>
                <w:sz w:val="20"/>
                <w:szCs w:val="20"/>
              </w:rPr>
              <w:t xml:space="preserve">Переведення на контрактне замовлення суспільно важливих пасажирських залізничних перевезень</w:t>
            </w:r>
          </w:p>
        </w:tc>
        <w:tc>
          <w:tcPr>
            <w:vAlign w:val="center"/>
          </w:tcPr>
          <w:p>
            <w:pPr>
              <w:jc w:val="center"/>
            </w:pPr>
            <w:r>
              <w:rPr>
                <w:sz w:val="20"/>
                <w:szCs w:val="20"/>
              </w:rPr>
              <w:t xml:space="preserve">здійснення аналізу структури пасажирських перевезень на залізничному транспорті, виокремлення за результатами аналізу напрямків пасажирських перевезень, що є стабільно збитковими та визначення джерел їх фінансування</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АТ «Укрзалізниця»</w:t>
            </w:r>
          </w:p>
        </w:tc>
      </w:tr>
      <w:tr>
        <w:trPr/>
        <w:tc>
          <w:tcPr>
            <w:vMerge w:val="continue"/>
          </w:tcPr>
          <w:p/>
        </w:tc>
        <w:tc>
          <w:tcPr>
            <w:vMerge w:val="continue"/>
          </w:tcPr>
          <w:p/>
        </w:tc>
        <w:tc>
          <w:tcPr>
            <w:vAlign w:val="center"/>
          </w:tcPr>
          <w:p>
            <w:pPr>
              <w:jc w:val="center"/>
            </w:pPr>
            <w:r>
              <w:rPr>
                <w:sz w:val="20"/>
                <w:szCs w:val="20"/>
              </w:rPr>
              <w:t xml:space="preserve">розробка проєкту Порядку організації суспільно важливих перевезень пасажирів залізничним транспортом та умов їх надання (стандарти якості, методи розрахунку тарифів, порядок компенсацій та надання виключних прав перевізникам, затвердження типового договору щодо надання послуг суспільно важливих перевезень пасажирів залізничним )</w:t>
            </w:r>
          </w:p>
        </w:tc>
        <w:tc>
          <w:tcPr>
            <w:tcW w:w="1500" w:type="dxa"/>
            <w:vAlign w:val="center"/>
          </w:tcPr>
          <w:p>
            <w:pPr>
              <w:jc w:val="center"/>
            </w:pPr>
            <w:r>
              <w:rPr>
                <w:sz w:val="20"/>
                <w:szCs w:val="20"/>
              </w:rPr>
              <w:t xml:space="preserve">01-03-2020</w:t>
            </w:r>
          </w:p>
        </w:tc>
        <w:tc>
          <w:tcPr>
            <w:tcW w:w="1500" w:type="dxa"/>
            <w:vAlign w:val="center"/>
          </w:tcPr>
          <w:p>
            <w:pPr>
              <w:jc w:val="center"/>
            </w:pPr>
            <w:r>
              <w:rPr>
                <w:sz w:val="20"/>
                <w:szCs w:val="20"/>
              </w:rPr>
              <w:t xml:space="preserve">31-12-2021</w:t>
            </w:r>
          </w:p>
        </w:tc>
        <w:tc>
          <w:tcPr>
            <w:vAlign w:val="center"/>
          </w:tcPr>
          <w:p>
            <w:pPr>
              <w:jc w:val="center"/>
            </w:pPr>
            <w:r>
              <w:rPr>
                <w:sz w:val="20"/>
                <w:szCs w:val="20"/>
              </w:rPr>
              <w:t xml:space="preserve">Мінінфраструктури</w:t>
            </w:r>
          </w:p>
        </w:tc>
      </w:tr>
      <w:tr>
        <w:trPr/>
        <w:tc>
          <w:tcPr>
            <w:vMerge w:val="continue"/>
          </w:tcPr>
          <w:p/>
        </w:tc>
        <w:tc>
          <w:tcPr>
            <w:vMerge w:val="continue"/>
          </w:tcPr>
          <w:p/>
        </w:tc>
        <w:tc>
          <w:tcPr>
            <w:vAlign w:val="center"/>
          </w:tcPr>
          <w:p>
            <w:pPr>
              <w:jc w:val="center"/>
            </w:pPr>
            <w:r>
              <w:rPr>
                <w:sz w:val="20"/>
                <w:szCs w:val="20"/>
              </w:rPr>
              <w:t xml:space="preserve">проведення роботи з місцевими органами влади щодо укладання контрактів</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31-12-2021</w:t>
            </w:r>
          </w:p>
        </w:tc>
        <w:tc>
          <w:tcPr>
            <w:vAlign w:val="center"/>
          </w:tcPr>
          <w:p>
            <w:pPr>
              <w:jc w:val="center"/>
            </w:pPr>
            <w:r>
              <w:rPr>
                <w:sz w:val="20"/>
                <w:szCs w:val="20"/>
              </w:rPr>
              <w:t xml:space="preserve">АТ «Укрзалізниця»;Мінінфраструктури</w:t>
            </w:r>
          </w:p>
        </w:tc>
      </w:tr>
      <w:tr>
        <w:trPr/>
        <w:tc>
          <w:tcPr>
            <w:vMerge w:val="continue"/>
          </w:tcPr>
          <w:p/>
        </w:tc>
        <w:tc>
          <w:tcPr>
            <w:vAlign w:val="center"/>
            <w:vMerge w:val="restart"/>
          </w:tcPr>
          <w:p>
            <w:pPr>
              <w:jc w:val="center"/>
            </w:pPr>
            <w:r>
              <w:rPr>
                <w:sz w:val="20"/>
                <w:szCs w:val="20"/>
              </w:rPr>
              <w:t xml:space="preserve">Забезпечення фінансування розвитку та модернізації об’єктів інфраструктури</w:t>
            </w:r>
          </w:p>
        </w:tc>
        <w:tc>
          <w:tcPr>
            <w:vAlign w:val="center"/>
          </w:tcPr>
          <w:p>
            <w:pPr>
              <w:jc w:val="center"/>
            </w:pPr>
            <w:r>
              <w:rPr>
                <w:sz w:val="20"/>
                <w:szCs w:val="20"/>
              </w:rPr>
              <w:t xml:space="preserve">включення до Державного бюджету України коштів на закупівлю пасажирського рухомого складу, відповідно до статті 10 Закону України «Про залізничний транспорт»</w:t>
            </w:r>
          </w:p>
        </w:tc>
        <w:tc>
          <w:tcPr>
            <w:tcW w:w="1500" w:type="dxa"/>
            <w:vAlign w:val="center"/>
          </w:tcPr>
          <w:p>
            <w:pPr>
              <w:jc w:val="center"/>
            </w:pPr>
            <w:r>
              <w:rPr>
                <w:sz w:val="20"/>
                <w:szCs w:val="20"/>
              </w:rPr>
              <w:t xml:space="preserve">01-05-2020</w:t>
            </w:r>
          </w:p>
        </w:tc>
        <w:tc>
          <w:tcPr>
            <w:tcW w:w="1500" w:type="dxa"/>
            <w:vAlign w:val="center"/>
          </w:tcPr>
          <w:p>
            <w:pPr>
              <w:jc w:val="center"/>
            </w:pPr>
            <w:r>
              <w:rPr>
                <w:sz w:val="20"/>
                <w:szCs w:val="20"/>
              </w:rPr>
              <w:t xml:space="preserve">31-12-2022</w:t>
            </w:r>
          </w:p>
        </w:tc>
        <w:tc>
          <w:tcPr>
            <w:vAlign w:val="center"/>
          </w:tcPr>
          <w:p>
            <w:pPr>
              <w:jc w:val="center"/>
            </w:pPr>
            <w:r>
              <w:rPr>
                <w:sz w:val="20"/>
                <w:szCs w:val="20"/>
              </w:rPr>
              <w:t xml:space="preserve">Мінінфраструктури;АТ «Укрзалізниця»</w:t>
            </w:r>
          </w:p>
        </w:tc>
      </w:tr>
      <w:tr>
        <w:trPr/>
        <w:tc>
          <w:tcPr>
            <w:vMerge w:val="continue"/>
          </w:tcPr>
          <w:p/>
        </w:tc>
        <w:tc>
          <w:tcPr>
            <w:vMerge w:val="continue"/>
          </w:tcPr>
          <w:p/>
        </w:tc>
        <w:tc>
          <w:tcPr>
            <w:vAlign w:val="center"/>
          </w:tcPr>
          <w:p>
            <w:pPr>
              <w:jc w:val="center"/>
            </w:pPr>
            <w:r>
              <w:rPr>
                <w:sz w:val="20"/>
                <w:szCs w:val="20"/>
              </w:rPr>
              <w:t xml:space="preserve">включення до програм державну підтримку розвитку інфраструктури, включаючи кошти з Державного бюджету</w:t>
            </w:r>
          </w:p>
        </w:tc>
        <w:tc>
          <w:tcPr>
            <w:tcW w:w="1500" w:type="dxa"/>
            <w:vAlign w:val="center"/>
          </w:tcPr>
          <w:p>
            <w:pPr>
              <w:jc w:val="center"/>
            </w:pPr>
            <w:r>
              <w:rPr>
                <w:sz w:val="20"/>
                <w:szCs w:val="20"/>
              </w:rPr>
              <w:t xml:space="preserve">01-05-2020</w:t>
            </w:r>
          </w:p>
        </w:tc>
        <w:tc>
          <w:tcPr>
            <w:tcW w:w="1500" w:type="dxa"/>
            <w:vAlign w:val="center"/>
          </w:tcPr>
          <w:p>
            <w:pPr>
              <w:jc w:val="center"/>
            </w:pPr>
            <w:r>
              <w:rPr>
                <w:sz w:val="20"/>
                <w:szCs w:val="20"/>
              </w:rPr>
              <w:t xml:space="preserve">31-12-2022</w:t>
            </w:r>
          </w:p>
        </w:tc>
        <w:tc>
          <w:tcPr>
            <w:vAlign w:val="center"/>
          </w:tcPr>
          <w:p>
            <w:pPr>
              <w:jc w:val="center"/>
            </w:pPr>
            <w:r>
              <w:rPr>
                <w:sz w:val="20"/>
                <w:szCs w:val="20"/>
              </w:rPr>
              <w:t xml:space="preserve">Мінінфраструктури;АТ «Укрзалізниця»</w:t>
            </w:r>
          </w:p>
        </w:tc>
      </w:tr>
      <w:tr>
        <w:trPr/>
        <w:tc>
          <w:tcPr>
            <w:vAlign w:val="center"/>
            <w:vMerge w:val="restart"/>
          </w:tcPr>
          <w:p>
            <w:pPr>
              <w:jc w:val="center"/>
            </w:pPr>
            <w:r>
              <w:rPr>
                <w:sz w:val="20"/>
                <w:szCs w:val="20"/>
              </w:rPr>
              <w:t xml:space="preserve">Технічне переоснащення залізничного транспорту</w:t>
            </w:r>
          </w:p>
        </w:tc>
        <w:tc>
          <w:tcPr>
            <w:vAlign w:val="center"/>
            <w:vMerge w:val="restart"/>
          </w:tcPr>
          <w:p>
            <w:pPr>
              <w:jc w:val="center"/>
            </w:pPr>
            <w:r>
              <w:rPr>
                <w:sz w:val="20"/>
                <w:szCs w:val="20"/>
              </w:rPr>
              <w:t xml:space="preserve">Оновлення тягового рухомого складу</w:t>
            </w:r>
          </w:p>
        </w:tc>
        <w:tc>
          <w:tcPr>
            <w:vAlign w:val="center"/>
          </w:tcPr>
          <w:p>
            <w:pPr>
              <w:jc w:val="center"/>
            </w:pPr>
            <w:r>
              <w:rPr>
                <w:sz w:val="20"/>
                <w:szCs w:val="20"/>
              </w:rPr>
              <w:t xml:space="preserve">оновлення 100 одиниць тягового рухомого складу,</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31-12-2023</w:t>
            </w:r>
          </w:p>
        </w:tc>
        <w:tc>
          <w:tcPr>
            <w:vAlign w:val="center"/>
          </w:tcPr>
          <w:p>
            <w:pPr>
              <w:jc w:val="center"/>
            </w:pPr>
            <w:r>
              <w:rPr>
                <w:sz w:val="20"/>
                <w:szCs w:val="20"/>
              </w:rPr>
              <w:t xml:space="preserve">АТ «Укрзалізниця»;Мінінфраструктури</w:t>
            </w:r>
          </w:p>
        </w:tc>
      </w:tr>
      <w:tr>
        <w:trPr/>
        <w:tc>
          <w:tcPr>
            <w:vMerge w:val="continue"/>
          </w:tcPr>
          <w:p/>
        </w:tc>
        <w:tc>
          <w:tcPr>
            <w:vAlign w:val="center"/>
            <w:vMerge w:val="restart"/>
          </w:tcPr>
          <w:p>
            <w:pPr>
              <w:jc w:val="center"/>
            </w:pPr>
            <w:r>
              <w:rPr>
                <w:sz w:val="20"/>
                <w:szCs w:val="20"/>
              </w:rPr>
              <w:t xml:space="preserve">Оновлення пасажирського рухомого складу</w:t>
            </w:r>
          </w:p>
        </w:tc>
        <w:tc>
          <w:tcPr>
            <w:vAlign w:val="center"/>
          </w:tcPr>
          <w:p>
            <w:pPr>
              <w:jc w:val="center"/>
            </w:pPr>
            <w:r>
              <w:rPr>
                <w:sz w:val="20"/>
                <w:szCs w:val="20"/>
              </w:rPr>
              <w:t xml:space="preserve">оновлення 100 пасажирських вагонів, 10 електропоїздів «Інтерсіті»</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31-12-2023</w:t>
            </w:r>
          </w:p>
        </w:tc>
        <w:tc>
          <w:tcPr>
            <w:vAlign w:val="center"/>
          </w:tcPr>
          <w:p>
            <w:pPr>
              <w:jc w:val="center"/>
            </w:pPr>
            <w:r>
              <w:rPr>
                <w:sz w:val="20"/>
                <w:szCs w:val="20"/>
              </w:rPr>
              <w:t xml:space="preserve">АТ «Укрзалізниця»;Мінінфраструктури</w:t>
            </w:r>
          </w:p>
        </w:tc>
      </w:tr>
      <w:tr>
        <w:trPr/>
        <w:tc>
          <w:tcPr>
            <w:vMerge w:val="continue"/>
          </w:tcPr>
          <w:p/>
        </w:tc>
        <w:tc>
          <w:tcPr>
            <w:vAlign w:val="center"/>
            <w:vMerge w:val="restart"/>
          </w:tcPr>
          <w:p>
            <w:pPr>
              <w:jc w:val="center"/>
            </w:pPr>
            <w:r>
              <w:rPr>
                <w:sz w:val="20"/>
                <w:szCs w:val="20"/>
              </w:rPr>
              <w:t xml:space="preserve">Ремонт інфраструктури до визначених Правилами технічної експлуатації показників</w:t>
            </w:r>
          </w:p>
        </w:tc>
        <w:tc>
          <w:tcPr>
            <w:vAlign w:val="center"/>
          </w:tcPr>
          <w:p>
            <w:pPr>
              <w:jc w:val="center"/>
            </w:pPr>
            <w:r>
              <w:rPr>
                <w:sz w:val="20"/>
                <w:szCs w:val="20"/>
              </w:rPr>
              <w:t xml:space="preserve">проведено ремонт та оновлення 1500 км</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31-12-2023</w:t>
            </w:r>
          </w:p>
        </w:tc>
        <w:tc>
          <w:tcPr>
            <w:vAlign w:val="center"/>
          </w:tcPr>
          <w:p>
            <w:pPr>
              <w:jc w:val="center"/>
            </w:pPr>
            <w:r>
              <w:rPr>
                <w:sz w:val="20"/>
                <w:szCs w:val="20"/>
              </w:rPr>
              <w:t xml:space="preserve">АТ «Укрзалізниця»;Мінінфраструктури</w:t>
            </w:r>
          </w:p>
        </w:tc>
      </w:tr>
      <w:tr>
        <w:trPr/>
        <w:tc>
          <w:tcPr>
            <w:vMerge w:val="continue"/>
          </w:tcPr>
          <w:p/>
        </w:tc>
        <w:tc>
          <w:tcPr>
            <w:vAlign w:val="center"/>
            <w:vMerge w:val="restart"/>
          </w:tcPr>
          <w:p>
            <w:pPr>
              <w:jc w:val="center"/>
            </w:pPr>
            <w:r>
              <w:rPr>
                <w:sz w:val="20"/>
                <w:szCs w:val="20"/>
              </w:rPr>
              <w:t xml:space="preserve">Реалізація інфраструктурних проектів</w:t>
            </w:r>
          </w:p>
        </w:tc>
        <w:tc>
          <w:tcPr>
            <w:vAlign w:val="center"/>
          </w:tcPr>
          <w:p>
            <w:pPr>
              <w:jc w:val="center"/>
            </w:pPr>
            <w:r>
              <w:rPr>
                <w:sz w:val="20"/>
                <w:szCs w:val="20"/>
              </w:rPr>
              <w:t xml:space="preserve">розпочато реалізацію 6 інфраструктурних проектів на суму близько 11 млрд. грн.</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31-12-2023</w:t>
            </w:r>
          </w:p>
        </w:tc>
        <w:tc>
          <w:tcPr>
            <w:vAlign w:val="center"/>
          </w:tcPr>
          <w:p>
            <w:pPr>
              <w:jc w:val="center"/>
            </w:pPr>
            <w:r>
              <w:rPr>
                <w:sz w:val="20"/>
                <w:szCs w:val="20"/>
              </w:rPr>
              <w:t xml:space="preserve">АТ «Укрзалізниця»;Мінінфраструктури</w:t>
            </w:r>
          </w:p>
        </w:tc>
      </w:tr>
      <w:tr>
        <w:trPr/>
        <w:tc>
          <w:tcPr>
            <w:vAlign w:val="center"/>
            <w:vMerge w:val="restart"/>
          </w:tcPr>
          <w:p>
            <w:pPr>
              <w:jc w:val="center"/>
            </w:pPr>
            <w:r>
              <w:rPr>
                <w:sz w:val="20"/>
                <w:szCs w:val="20"/>
              </w:rPr>
              <w:t xml:space="preserve">Реформа структури АТ «Укрзалізниця»; відкриття ринку залізничних перевезень</w:t>
            </w:r>
          </w:p>
        </w:tc>
        <w:tc>
          <w:tcPr>
            <w:vAlign w:val="center"/>
            <w:vMerge w:val="restart"/>
          </w:tcPr>
          <w:p>
            <w:pPr>
              <w:jc w:val="center"/>
            </w:pPr>
            <w:r>
              <w:rPr>
                <w:sz w:val="20"/>
                <w:szCs w:val="20"/>
              </w:rPr>
              <w:t xml:space="preserve">Відкриття конкурентного ринку залізничних перевезень</w:t>
            </w:r>
          </w:p>
        </w:tc>
        <w:tc>
          <w:tcPr>
            <w:vAlign w:val="center"/>
          </w:tcPr>
          <w:p>
            <w:pPr>
              <w:jc w:val="center"/>
            </w:pPr>
            <w:r>
              <w:rPr>
                <w:sz w:val="20"/>
                <w:szCs w:val="20"/>
              </w:rPr>
              <w:t xml:space="preserve">визначення в Законі України базових засад діяльності конкурентного ринку залізничних перевезень</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Мінінфраструктури</w:t>
            </w:r>
          </w:p>
        </w:tc>
      </w:tr>
      <w:tr>
        <w:trPr/>
        <w:tc>
          <w:tcPr>
            <w:vMerge w:val="continue"/>
          </w:tcPr>
          <w:p/>
        </w:tc>
        <w:tc>
          <w:tcPr>
            <w:vMerge w:val="continue"/>
          </w:tcPr>
          <w:p/>
        </w:tc>
        <w:tc>
          <w:tcPr>
            <w:vAlign w:val="center"/>
          </w:tcPr>
          <w:p>
            <w:pPr>
              <w:jc w:val="center"/>
            </w:pPr>
            <w:r>
              <w:rPr>
                <w:sz w:val="20"/>
                <w:szCs w:val="20"/>
              </w:rPr>
              <w:t xml:space="preserve">запровадження процедур доступу до ринку залізничних перевезень перевізників (ліцензування, сертифікація)</w:t>
            </w:r>
          </w:p>
        </w:tc>
        <w:tc>
          <w:tcPr>
            <w:tcW w:w="1500" w:type="dxa"/>
            <w:vAlign w:val="center"/>
          </w:tcPr>
          <w:p>
            <w:pPr>
              <w:jc w:val="center"/>
            </w:pPr>
            <w:r>
              <w:rPr>
                <w:sz w:val="20"/>
                <w:szCs w:val="20"/>
              </w:rPr>
              <w:t xml:space="preserve">01-12-2020</w:t>
            </w:r>
          </w:p>
        </w:tc>
        <w:tc>
          <w:tcPr>
            <w:tcW w:w="1500" w:type="dxa"/>
            <w:vAlign w:val="center"/>
          </w:tcPr>
          <w:p>
            <w:pPr>
              <w:jc w:val="center"/>
            </w:pPr>
            <w:r>
              <w:rPr>
                <w:sz w:val="20"/>
                <w:szCs w:val="20"/>
              </w:rPr>
              <w:t xml:space="preserve">31-12-2021</w:t>
            </w:r>
          </w:p>
        </w:tc>
        <w:tc>
          <w:tcPr>
            <w:vAlign w:val="center"/>
          </w:tcPr>
          <w:p>
            <w:pPr>
              <w:jc w:val="center"/>
            </w:pPr>
            <w:r>
              <w:rPr>
                <w:sz w:val="20"/>
                <w:szCs w:val="20"/>
              </w:rPr>
              <w:t xml:space="preserve">Мінінфраструктури</w:t>
            </w:r>
          </w:p>
        </w:tc>
      </w:tr>
      <w:tr>
        <w:trPr/>
        <w:tc>
          <w:tcPr>
            <w:vMerge w:val="continue"/>
          </w:tcPr>
          <w:p/>
        </w:tc>
        <w:tc>
          <w:tcPr>
            <w:vMerge w:val="continue"/>
          </w:tcPr>
          <w:p/>
        </w:tc>
        <w:tc>
          <w:tcPr>
            <w:vAlign w:val="center"/>
          </w:tcPr>
          <w:p>
            <w:pPr>
              <w:jc w:val="center"/>
            </w:pPr>
            <w:r>
              <w:rPr>
                <w:sz w:val="20"/>
                <w:szCs w:val="20"/>
              </w:rPr>
              <w:t xml:space="preserve">розробка оператором інфраструктури Порядку рівноправного доступу до інфраструктури залізничного транспорту загального користування (Network Statement)  відповідно до вимог європейського та українського законодавств.</w:t>
            </w:r>
          </w:p>
        </w:tc>
        <w:tc>
          <w:tcPr>
            <w:tcW w:w="1500" w:type="dxa"/>
            <w:vAlign w:val="center"/>
          </w:tcPr>
          <w:p>
            <w:pPr>
              <w:jc w:val="center"/>
            </w:pPr>
            <w:r>
              <w:rPr>
                <w:sz w:val="20"/>
                <w:szCs w:val="20"/>
              </w:rPr>
              <w:t xml:space="preserve">01-03-2020</w:t>
            </w:r>
          </w:p>
        </w:tc>
        <w:tc>
          <w:tcPr>
            <w:tcW w:w="1500" w:type="dxa"/>
            <w:vAlign w:val="center"/>
          </w:tcPr>
          <w:p>
            <w:pPr>
              <w:jc w:val="center"/>
            </w:pPr>
            <w:r>
              <w:rPr>
                <w:sz w:val="20"/>
                <w:szCs w:val="20"/>
              </w:rPr>
              <w:t xml:space="preserve">31-07-2021</w:t>
            </w:r>
          </w:p>
        </w:tc>
        <w:tc>
          <w:tcPr>
            <w:vAlign w:val="center"/>
          </w:tcPr>
          <w:p>
            <w:pPr>
              <w:jc w:val="center"/>
            </w:pPr>
            <w:r>
              <w:rPr>
                <w:sz w:val="20"/>
                <w:szCs w:val="20"/>
              </w:rPr>
              <w:t xml:space="preserve">АТ «Укрзалізниця»</w:t>
            </w:r>
          </w:p>
        </w:tc>
      </w:tr>
      <w:tr>
        <w:trPr/>
        <w:tc>
          <w:tcPr>
            <w:vMerge w:val="continue"/>
          </w:tcPr>
          <w:p/>
        </w:tc>
        <w:tc>
          <w:tcPr>
            <w:vMerge w:val="continue"/>
          </w:tcPr>
          <w:p/>
        </w:tc>
        <w:tc>
          <w:tcPr>
            <w:vAlign w:val="center"/>
          </w:tcPr>
          <w:p>
            <w:pPr>
              <w:jc w:val="center"/>
            </w:pPr>
            <w:r>
              <w:rPr>
                <w:sz w:val="20"/>
                <w:szCs w:val="20"/>
              </w:rPr>
              <w:t xml:space="preserve">запровадження механізмів контролю безпеки залізничних перевезень в умовах конкурентного ринку</w:t>
            </w:r>
          </w:p>
        </w:tc>
        <w:tc>
          <w:tcPr>
            <w:tcW w:w="1500" w:type="dxa"/>
            <w:vAlign w:val="center"/>
          </w:tcPr>
          <w:p>
            <w:pPr>
              <w:jc w:val="center"/>
            </w:pPr>
            <w:r>
              <w:rPr>
                <w:sz w:val="20"/>
                <w:szCs w:val="20"/>
              </w:rPr>
              <w:t xml:space="preserve">01-12-2020</w:t>
            </w:r>
          </w:p>
        </w:tc>
        <w:tc>
          <w:tcPr>
            <w:tcW w:w="1500" w:type="dxa"/>
            <w:vAlign w:val="center"/>
          </w:tcPr>
          <w:p>
            <w:pPr>
              <w:jc w:val="center"/>
            </w:pPr>
            <w:r>
              <w:rPr>
                <w:sz w:val="20"/>
                <w:szCs w:val="20"/>
              </w:rPr>
              <w:t xml:space="preserve">31-12-2022</w:t>
            </w:r>
          </w:p>
        </w:tc>
        <w:tc>
          <w:tcPr>
            <w:vAlign w:val="center"/>
          </w:tcPr>
          <w:p>
            <w:pPr>
              <w:jc w:val="center"/>
            </w:pPr>
            <w:r>
              <w:rPr>
                <w:sz w:val="20"/>
                <w:szCs w:val="20"/>
              </w:rPr>
              <w:t xml:space="preserve">Мінінфраструктури</w:t>
            </w:r>
          </w:p>
        </w:tc>
      </w:tr>
      <w:tr>
        <w:trPr/>
        <w:tc>
          <w:tcPr>
            <w:vMerge w:val="continue"/>
          </w:tcPr>
          <w:p/>
        </w:tc>
        <w:tc>
          <w:tcPr>
            <w:vAlign w:val="center"/>
            <w:vMerge w:val="restart"/>
          </w:tcPr>
          <w:p>
            <w:pPr>
              <w:jc w:val="center"/>
            </w:pPr>
            <w:r>
              <w:rPr>
                <w:sz w:val="20"/>
                <w:szCs w:val="20"/>
              </w:rPr>
              <w:t xml:space="preserve">Реструктуризація АТ «Укрзалізниця»</w:t>
            </w:r>
          </w:p>
        </w:tc>
        <w:tc>
          <w:tcPr>
            <w:vAlign w:val="center"/>
          </w:tcPr>
          <w:p>
            <w:pPr>
              <w:jc w:val="center"/>
            </w:pPr>
            <w:r>
              <w:rPr>
                <w:sz w:val="20"/>
                <w:szCs w:val="20"/>
              </w:rPr>
              <w:t xml:space="preserve">прийняття дорожньої карти структурної реформи АТ «Укрзалізниця»</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31-03-2020</w:t>
            </w:r>
          </w:p>
        </w:tc>
        <w:tc>
          <w:tcPr>
            <w:vAlign w:val="center"/>
          </w:tcPr>
          <w:p>
            <w:pPr>
              <w:jc w:val="center"/>
            </w:pPr>
            <w:r>
              <w:rPr>
                <w:sz w:val="20"/>
                <w:szCs w:val="20"/>
              </w:rPr>
              <w:t xml:space="preserve">Мінінфраструктури;АТ «Укрзалізниця»</w:t>
            </w:r>
          </w:p>
        </w:tc>
      </w:tr>
      <w:tr>
        <w:trPr/>
        <w:tc>
          <w:tcPr>
            <w:vMerge w:val="continue"/>
          </w:tcPr>
          <w:p/>
        </w:tc>
        <w:tc>
          <w:tcPr>
            <w:vMerge w:val="continue"/>
          </w:tcPr>
          <w:p/>
        </w:tc>
        <w:tc>
          <w:tcPr>
            <w:vAlign w:val="center"/>
          </w:tcPr>
          <w:p>
            <w:pPr>
              <w:jc w:val="center"/>
            </w:pPr>
            <w:r>
              <w:rPr>
                <w:sz w:val="20"/>
                <w:szCs w:val="20"/>
              </w:rPr>
              <w:t xml:space="preserve">підготовка бізнес-підрозділів АТ «Укрзалізниця» до реструктуризації за видами бізнесу</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30-11-2020</w:t>
            </w:r>
          </w:p>
        </w:tc>
        <w:tc>
          <w:tcPr>
            <w:vAlign w:val="center"/>
          </w:tcPr>
          <w:p>
            <w:pPr>
              <w:jc w:val="center"/>
            </w:pPr>
            <w:r>
              <w:rPr>
                <w:sz w:val="20"/>
                <w:szCs w:val="20"/>
              </w:rPr>
              <w:t xml:space="preserve">АТ «Укрзалізниця»</w:t>
            </w:r>
          </w:p>
        </w:tc>
      </w:tr>
      <w:tr>
        <w:trPr/>
        <w:tc>
          <w:tcPr>
            <w:vMerge w:val="continue"/>
          </w:tcPr>
          <w:p/>
        </w:tc>
        <w:tc>
          <w:tcPr>
            <w:vMerge w:val="continue"/>
          </w:tcPr>
          <w:p/>
        </w:tc>
        <w:tc>
          <w:tcPr>
            <w:vAlign w:val="center"/>
          </w:tcPr>
          <w:p>
            <w:pPr>
              <w:jc w:val="center"/>
            </w:pPr>
            <w:r>
              <w:rPr>
                <w:sz w:val="20"/>
                <w:szCs w:val="20"/>
              </w:rPr>
              <w:t xml:space="preserve">утворення на базі АТ «Укрзалізниця» окремих суб’єктів господарювання: оператора інфраструктури,  вантажного та пасажирського перевізників</w:t>
            </w:r>
          </w:p>
        </w:tc>
        <w:tc>
          <w:tcPr>
            <w:tcW w:w="1500" w:type="dxa"/>
            <w:vAlign w:val="center"/>
          </w:tcPr>
          <w:p>
            <w:pPr>
              <w:jc w:val="center"/>
            </w:pPr>
            <w:r>
              <w:rPr>
                <w:sz w:val="20"/>
                <w:szCs w:val="20"/>
              </w:rPr>
              <w:t xml:space="preserve">01-12-2020</w:t>
            </w:r>
          </w:p>
        </w:tc>
        <w:tc>
          <w:tcPr>
            <w:tcW w:w="1500" w:type="dxa"/>
            <w:vAlign w:val="center"/>
          </w:tcPr>
          <w:p>
            <w:pPr>
              <w:jc w:val="center"/>
            </w:pPr>
            <w:r>
              <w:rPr>
                <w:sz w:val="20"/>
                <w:szCs w:val="20"/>
              </w:rPr>
              <w:t xml:space="preserve">31-12-2021</w:t>
            </w:r>
          </w:p>
        </w:tc>
        <w:tc>
          <w:tcPr>
            <w:vAlign w:val="center"/>
          </w:tcPr>
          <w:p>
            <w:pPr>
              <w:jc w:val="center"/>
            </w:pPr>
            <w:r>
              <w:rPr>
                <w:sz w:val="20"/>
                <w:szCs w:val="20"/>
              </w:rPr>
              <w:t xml:space="preserve">АТ «Укрзалізниця»</w:t>
            </w:r>
          </w:p>
        </w:tc>
      </w:tr>
      <w:tr>
        <w:trPr/>
        <w:tc>
          <w:tcPr>
            <w:vMerge w:val="continue"/>
          </w:tcPr>
          <w:p/>
        </w:tc>
        <w:tc>
          <w:tcPr>
            <w:vMerge w:val="continue"/>
          </w:tcPr>
          <w:p/>
        </w:tc>
        <w:tc>
          <w:tcPr>
            <w:vAlign w:val="center"/>
          </w:tcPr>
          <w:p>
            <w:pPr>
              <w:jc w:val="center"/>
            </w:pPr>
            <w:r>
              <w:rPr>
                <w:sz w:val="20"/>
                <w:szCs w:val="20"/>
              </w:rPr>
              <w:t xml:space="preserve">реорганізація та реалізація непрофільних активів</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31-12-2021</w:t>
            </w:r>
          </w:p>
        </w:tc>
        <w:tc>
          <w:tcPr>
            <w:vAlign w:val="center"/>
          </w:tcPr>
          <w:p>
            <w:pPr>
              <w:jc w:val="center"/>
            </w:pPr>
            <w:r>
              <w:rPr>
                <w:sz w:val="20"/>
                <w:szCs w:val="20"/>
              </w:rPr>
              <w:t xml:space="preserve">АТ «Укрзалізниця»</w:t>
            </w:r>
          </w:p>
        </w:tc>
      </w:tr>
      <w:tr>
        <w:trPr/>
        <w:tc>
          <w:tcPr>
            <w:vMerge w:val="continue"/>
          </w:tcPr>
          <w:p/>
        </w:tc>
        <w:tc>
          <w:tcPr>
            <w:vMerge w:val="continue"/>
          </w:tcPr>
          <w:p/>
        </w:tc>
        <w:tc>
          <w:tcPr>
            <w:vAlign w:val="center"/>
          </w:tcPr>
          <w:p>
            <w:pPr>
              <w:jc w:val="center"/>
            </w:pPr>
            <w:r>
              <w:rPr>
                <w:sz w:val="20"/>
                <w:szCs w:val="20"/>
              </w:rPr>
              <w:t xml:space="preserve">підготовка компанії до первинного розміщення акцій</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31-12-2023</w:t>
            </w:r>
          </w:p>
        </w:tc>
        <w:tc>
          <w:tcPr>
            <w:vAlign w:val="center"/>
          </w:tcPr>
          <w:p>
            <w:pPr>
              <w:jc w:val="center"/>
            </w:pPr>
            <w:r>
              <w:rPr>
                <w:sz w:val="20"/>
                <w:szCs w:val="20"/>
              </w:rPr>
              <w:t xml:space="preserve">АТ «Укрзалізниця»</w:t>
            </w:r>
          </w:p>
        </w:tc>
      </w:tr>
      <w:tr>
        <w:trPr/>
        <w:tc>
          <w:tcPr>
            <w:vMerge w:val="continue"/>
          </w:tcPr>
          <w:p/>
        </w:tc>
        <w:tc>
          <w:tcPr>
            <w:vAlign w:val="center"/>
            <w:vMerge w:val="restart"/>
          </w:tcPr>
          <w:p>
            <w:pPr>
              <w:jc w:val="center"/>
            </w:pPr>
            <w:r>
              <w:rPr>
                <w:sz w:val="20"/>
                <w:szCs w:val="20"/>
              </w:rPr>
              <w:t xml:space="preserve">Модернізація бізнес процесів АТ «Укрзалізниця»</w:t>
            </w:r>
          </w:p>
        </w:tc>
        <w:tc>
          <w:tcPr>
            <w:vAlign w:val="center"/>
          </w:tcPr>
          <w:p>
            <w:pPr>
              <w:jc w:val="center"/>
            </w:pPr>
            <w:r>
              <w:rPr>
                <w:sz w:val="20"/>
                <w:szCs w:val="20"/>
              </w:rPr>
              <w:t xml:space="preserve">розробка та впровадження гео-інформаційної системи розподілу пропускної спроможності залізничної інфраструктури (GIS)</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31-12-2021</w:t>
            </w:r>
          </w:p>
        </w:tc>
        <w:tc>
          <w:tcPr>
            <w:vAlign w:val="center"/>
          </w:tcPr>
          <w:p>
            <w:pPr>
              <w:jc w:val="center"/>
            </w:pPr>
            <w:r>
              <w:rPr>
                <w:sz w:val="20"/>
                <w:szCs w:val="20"/>
              </w:rPr>
              <w:t xml:space="preserve">АТ «Укрзалізниця»</w:t>
            </w:r>
          </w:p>
        </w:tc>
      </w:tr>
      <w:tr>
        <w:trPr/>
        <w:tc>
          <w:tcPr>
            <w:vMerge w:val="continue"/>
          </w:tcPr>
          <w:p/>
        </w:tc>
        <w:tc>
          <w:tcPr>
            <w:vMerge w:val="continue"/>
          </w:tcPr>
          <w:p/>
        </w:tc>
        <w:tc>
          <w:tcPr>
            <w:vAlign w:val="center"/>
          </w:tcPr>
          <w:p>
            <w:pPr>
              <w:jc w:val="center"/>
            </w:pPr>
            <w:r>
              <w:rPr>
                <w:sz w:val="20"/>
                <w:szCs w:val="20"/>
              </w:rPr>
              <w:t xml:space="preserve">запровадження Єдиного електронного проїзного документу на залізничному транспорті</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31-12-2021</w:t>
            </w:r>
          </w:p>
        </w:tc>
        <w:tc>
          <w:tcPr>
            <w:vAlign w:val="center"/>
          </w:tcPr>
          <w:p>
            <w:pPr>
              <w:jc w:val="center"/>
            </w:pPr>
            <w:r>
              <w:rPr>
                <w:sz w:val="20"/>
                <w:szCs w:val="20"/>
              </w:rPr>
              <w:t xml:space="preserve">АТ «Укрзалізниця»</w:t>
            </w:r>
          </w:p>
        </w:tc>
      </w:tr>
      <w:tr>
        <w:trPr/>
        <w:tc>
          <w:tcPr>
            <w:vMerge w:val="continue"/>
          </w:tcPr>
          <w:p/>
        </w:tc>
        <w:tc>
          <w:tcPr>
            <w:vMerge w:val="continue"/>
          </w:tcPr>
          <w:p/>
        </w:tc>
        <w:tc>
          <w:tcPr>
            <w:vAlign w:val="center"/>
          </w:tcPr>
          <w:p>
            <w:pPr>
              <w:jc w:val="center"/>
            </w:pPr>
            <w:r>
              <w:rPr>
                <w:sz w:val="20"/>
                <w:szCs w:val="20"/>
              </w:rPr>
              <w:t xml:space="preserve">впровадження автоматичної сплати проїзду на приміських маршрутах</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31-12-2022</w:t>
            </w:r>
          </w:p>
        </w:tc>
        <w:tc>
          <w:tcPr>
            <w:vAlign w:val="center"/>
          </w:tcPr>
          <w:p>
            <w:pPr>
              <w:jc w:val="center"/>
            </w:pPr>
            <w:r>
              <w:rPr>
                <w:sz w:val="20"/>
                <w:szCs w:val="20"/>
              </w:rPr>
              <w:t xml:space="preserve">АТ «Укрзалізниця»</w:t>
            </w:r>
          </w:p>
        </w:tc>
      </w:tr>
      <w:tr>
        <w:trPr/>
        <w:tc>
          <w:tcPr>
            <w:vMerge w:val="continue"/>
          </w:tcPr>
          <w:p/>
        </w:tc>
        <w:tc>
          <w:tcPr>
            <w:vMerge w:val="continue"/>
          </w:tcPr>
          <w:p/>
        </w:tc>
        <w:tc>
          <w:tcPr>
            <w:vAlign w:val="center"/>
          </w:tcPr>
          <w:p>
            <w:pPr>
              <w:jc w:val="center"/>
            </w:pPr>
            <w:r>
              <w:rPr>
                <w:sz w:val="20"/>
                <w:szCs w:val="20"/>
              </w:rPr>
              <w:t xml:space="preserve">запровадження систем управління якістю пасажирських перевезень з обов’язковою їх публікацією та системою моніторингу їх виконання</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31-12-2021</w:t>
            </w:r>
          </w:p>
        </w:tc>
        <w:tc>
          <w:tcPr>
            <w:vAlign w:val="center"/>
          </w:tcPr>
          <w:p>
            <w:pPr>
              <w:jc w:val="center"/>
            </w:pPr>
            <w:r>
              <w:rPr>
                <w:sz w:val="20"/>
                <w:szCs w:val="20"/>
              </w:rPr>
              <w:t xml:space="preserve">АТ «Укрзалізниця»</w:t>
            </w:r>
          </w:p>
        </w:tc>
      </w:tr>
      <w:tr>
        <w:trPr/>
        <w:tc>
          <w:tcPr>
            <w:vMerge w:val="continue"/>
          </w:tcPr>
          <w:p/>
        </w:tc>
        <w:tc>
          <w:tcPr>
            <w:vAlign w:val="center"/>
            <w:vMerge w:val="restart"/>
          </w:tcPr>
          <w:p>
            <w:pPr>
              <w:jc w:val="center"/>
            </w:pPr>
            <w:r>
              <w:rPr>
                <w:sz w:val="20"/>
                <w:szCs w:val="20"/>
              </w:rPr>
              <w:t xml:space="preserve">Переведення частини сервісів в приватний сектор (концесія залізничних вокзалів)</w:t>
            </w:r>
          </w:p>
        </w:tc>
        <w:tc>
          <w:tcPr>
            <w:vAlign w:val="center"/>
          </w:tcPr>
          <w:p>
            <w:pPr>
              <w:jc w:val="center"/>
            </w:pPr>
            <w:r>
              <w:rPr>
                <w:sz w:val="20"/>
                <w:szCs w:val="20"/>
              </w:rPr>
              <w:t xml:space="preserve">визначення переліку вокзалів для передачі вокзалів в концесію</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31-05-2021</w:t>
            </w:r>
          </w:p>
        </w:tc>
        <w:tc>
          <w:tcPr>
            <w:vAlign w:val="center"/>
          </w:tcPr>
          <w:p>
            <w:pPr>
              <w:jc w:val="center"/>
            </w:pPr>
            <w:r>
              <w:rPr>
                <w:sz w:val="20"/>
                <w:szCs w:val="20"/>
              </w:rPr>
              <w:t xml:space="preserve">АТ «Укрзалізниця»;Мінінфраструктури</w:t>
            </w:r>
          </w:p>
        </w:tc>
      </w:tr>
      <w:tr>
        <w:trPr/>
        <w:tc>
          <w:tcPr>
            <w:vMerge w:val="continue"/>
          </w:tcPr>
          <w:p/>
        </w:tc>
        <w:tc>
          <w:tcPr>
            <w:vMerge w:val="continue"/>
          </w:tcPr>
          <w:p/>
        </w:tc>
        <w:tc>
          <w:tcPr>
            <w:vAlign w:val="center"/>
          </w:tcPr>
          <w:p>
            <w:pPr>
              <w:jc w:val="center"/>
            </w:pPr>
            <w:r>
              <w:rPr>
                <w:sz w:val="20"/>
                <w:szCs w:val="20"/>
              </w:rPr>
              <w:t xml:space="preserve">розробка ТЕО щодо Передача вокзалів в концесію на засадах державно-приватного партнерства із визначенням чітких завдань концесіонеру</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АТ «Укрзалізниця»;Мінінфраструктури (із залученням програм технічної допомоги)</w:t>
            </w:r>
          </w:p>
        </w:tc>
      </w:tr>
      <w:tr>
        <w:trPr/>
        <w:tc>
          <w:tcPr>
            <w:vMerge w:val="continue"/>
          </w:tcPr>
          <w:p/>
        </w:tc>
        <w:tc>
          <w:tcPr>
            <w:vMerge w:val="continue"/>
          </w:tcPr>
          <w:p/>
        </w:tc>
        <w:tc>
          <w:tcPr>
            <w:vAlign w:val="center"/>
          </w:tcPr>
          <w:p>
            <w:pPr>
              <w:jc w:val="center"/>
            </w:pPr>
            <w:r>
              <w:rPr>
                <w:sz w:val="20"/>
                <w:szCs w:val="20"/>
              </w:rPr>
              <w:t xml:space="preserve">проведення конкурсів щодо концесії вокзалів</w:t>
            </w:r>
          </w:p>
        </w:tc>
        <w:tc>
          <w:tcPr>
            <w:tcW w:w="1500" w:type="dxa"/>
            <w:vAlign w:val="center"/>
          </w:tcPr>
          <w:p>
            <w:pPr>
              <w:jc w:val="center"/>
            </w:pPr>
            <w:r>
              <w:rPr>
                <w:sz w:val="20"/>
                <w:szCs w:val="20"/>
              </w:rPr>
              <w:t xml:space="preserve">01-12-2020</w:t>
            </w:r>
          </w:p>
        </w:tc>
        <w:tc>
          <w:tcPr>
            <w:tcW w:w="1500" w:type="dxa"/>
            <w:vAlign w:val="center"/>
          </w:tcPr>
          <w:p>
            <w:pPr>
              <w:jc w:val="center"/>
            </w:pPr>
            <w:r>
              <w:rPr>
                <w:sz w:val="20"/>
                <w:szCs w:val="20"/>
              </w:rPr>
              <w:t xml:space="preserve">31-12-2021</w:t>
            </w:r>
          </w:p>
        </w:tc>
        <w:tc>
          <w:tcPr>
            <w:vAlign w:val="center"/>
          </w:tcPr>
          <w:p>
            <w:pPr>
              <w:jc w:val="center"/>
            </w:pPr>
            <w:r>
              <w:rPr>
                <w:sz w:val="20"/>
                <w:szCs w:val="20"/>
              </w:rPr>
              <w:t xml:space="preserve">АТ «Укрзалізниця»;Мінінфраструктури</w:t>
            </w:r>
          </w:p>
        </w:tc>
      </w:tr>
    </w:tbl>
    <w:sectPr>
      <w:pgSz w:orient="landscape" w:w="16837.795275591" w:h="11905.511811024"/>
      <w:pgMar w:top="700" w:right="700" w:bottom="700" w:left="70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29EC3F81"/>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1">
    <w:abstractNumId w:val="1"/>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4"/>
        <w:szCs w:val="24"/>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Colspan Rowspan">
    <w:name w:val="Colspan Rowspan"/>
    <w:uiPriority w:val="99"/>
    <w:tblPr>
      <w:tblW w:w="0" w:type="auto"/>
      <w:tblLayout w:type="autofit"/>
      <w:tblBorders>
        <w:top w:val="single" w:sz="6" w:color="999999"/>
        <w:left w:val="single" w:sz="6" w:color="999999"/>
        <w:right w:val="single" w:sz="6" w:color="999999"/>
        <w:bottom w:val="single" w:sz="6" w:color="999999"/>
        <w:insideH w:val="single" w:sz="6" w:color="999999"/>
        <w:insideV w:val="single" w:sz="6" w:color="9999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2020-02-10T10:29:42+02:00</dcterms:created>
  <dcterms:modified xsi:type="dcterms:W3CDTF">2020-02-10T10:29:42+02:00</dcterms:modified>
</cp:coreProperties>
</file>

<file path=docProps/custom.xml><?xml version="1.0" encoding="utf-8"?>
<Properties xmlns="http://schemas.openxmlformats.org/officeDocument/2006/custom-properties" xmlns:vt="http://schemas.openxmlformats.org/officeDocument/2006/docPropsVTypes"/>
</file>