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9.1. «Менша кількість українців перебуває за межею енергетичної бідності та підвищено енергоефективність економіки»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25% домогосподарств є енергетично бідними, тобто витрачають більше ніж 20% свого сукупного доходу на комунальні послуги . 1.2. За показником енергоємності ВВП при постійному паритеті купівельної спроможності Україна є найменш енергоефективною країною в світі</w:t>
      </w:r>
    </w:p>
    <w:p>
      <w:pPr/>
      <w:r>
        <w:rPr>
          <w:b w:val="1"/>
          <w:bCs w:val="1"/>
        </w:rPr>
        <w:t xml:space="preserve">1.2. Носій проблеми </w:t>
      </w:r>
    </w:p>
    <w:p>
      <w:pPr/>
      <w:r>
        <w:rPr/>
        <w:t xml:space="preserve">4,6 млн домогосподарств (отримувачі субсидій) ,44,4 тис суб’єктів господарювання</w:t>
      </w:r>
    </w:p>
    <w:p>
      <w:pPr/>
      <w:r>
        <w:rPr>
          <w:b w:val="1"/>
          <w:bCs w:val="1"/>
        </w:rPr>
        <w:t xml:space="preserve">1.3. Масштаб проблеми: Загальнонаціональна</w:t>
      </w:r>
    </w:p>
    <w:p>
      <w:pPr/>
      <w:r>
        <w:rPr/>
        <w:t xml:space="preserve">1. Загальна кількість домогосподарств становить близько 14,9 млн. З початку 2019 р. призначено субсидії 4,6 млн домогосподарств, із них у міській місцевості – 3,3 млн домогосподарств, у сільській місцевості – 1,3 млн</w:t>
      </w:r>
      <w:hyperlink w:anchor="_ftn1" w:history="1">
        <w:r>
          <w:rPr/>
          <w:t xml:space="preserve">[1]</w:t>
        </w:r>
      </w:hyperlink>
      <w:r>
        <w:rPr/>
        <w:t xml:space="preserve">.</w:t>
      </w:r>
    </w:p>
    <w:p>
      <w:pPr/>
      <w:r>
        <w:rPr/>
        <w:t xml:space="preserve">2. Рівень енергоємності ВВП в Україні перевищував у 2018 році рівень енергоємності ВВП Польщі – у 2,5 рази; Німеччини – у 3,3 рази та середнє значення країн світу – у 2 рази</w:t>
      </w:r>
      <w:hyperlink w:anchor="_ftn2" w:history="1">
        <w:r>
          <w:rPr/>
          <w:t xml:space="preserve">[2]</w:t>
        </w:r>
      </w:hyperlink>
    </w:p>
    <w:p>
      <w:pPr/>
      <w:r>
        <w:rPr/>
        <w:t xml:space="preserve"> </w:t>
      </w:r>
    </w:p>
    <w:p>
      <w:pPr/>
      <w:hyperlink w:anchor="_ftnref1" w:history="1">
        <w:r>
          <w:rPr/>
          <w:t xml:space="preserve">[1]</w:t>
        </w:r>
      </w:hyperlink>
      <w:r>
        <w:rPr/>
        <w:t xml:space="preserve"> Держстат. Експрес-випуск "Про надання населенню субсидій", жовтень 2019 року.</w:t>
      </w:r>
    </w:p>
    <w:p>
      <w:pPr/>
      <w:hyperlink w:anchor="_ftnref2" w:history="1">
        <w:r>
          <w:rPr/>
          <w:t xml:space="preserve">[2]</w:t>
        </w:r>
      </w:hyperlink>
      <w:r>
        <w:rPr/>
        <w:t xml:space="preserve"> </w:t>
      </w:r>
      <w:hyperlink r:id="rId11" w:history="1">
        <w:r>
          <w:rPr/>
          <w:t xml:space="preserve">https://yearbook.enerdata.net/total-energy/world-energy-intensity-gdp-data.htm</w:t>
        </w:r>
      </w:hyperlink>
    </w:p>
    <w:p>
      <w:pPr/>
      <w:r>
        <w:rPr>
          <w:b w:val="1"/>
          <w:bCs w:val="1"/>
        </w:rPr>
        <w:t xml:space="preserve">1.4. Гострота проблеми: Гостра</w:t>
      </w:r>
    </w:p>
    <w:p>
      <w:pPr/>
      <w:r>
        <w:rPr/>
        <w:t xml:space="preserve">1.  Підвищення тарифів на комунальні послуги є другою найгострішою проблемою українців після воєнного конфлікту на Сході України</w:t>
      </w:r>
      <w:hyperlink w:anchor="_ftn1" w:history="1">
        <w:r>
          <w:rPr/>
          <w:t xml:space="preserve">[1]</w:t>
        </w:r>
      </w:hyperlink>
      <w:r>
        <w:rPr/>
        <w:t xml:space="preserve">. В середньому домогосподарства витрачають 1139.09 грн/міс на житло, воду, електроенергію, газ та інші види палива або 15% споживчих витрат</w:t>
      </w:r>
      <w:hyperlink w:anchor="_ftn2" w:history="1">
        <w:r>
          <w:rPr/>
          <w:t xml:space="preserve">[2]</w:t>
        </w:r>
      </w:hyperlink>
      <w:r>
        <w:rPr/>
        <w:t xml:space="preserve">.</w:t>
      </w:r>
    </w:p>
    <w:p>
      <w:pPr/>
      <w:r>
        <w:rPr/>
        <w:t xml:space="preserve">2. Сукупний рівень енергоємності промислової продукції в 2017 році становив 0.69 кг н.е./дол, при цьому приріст продемонстрували 9 галузей. Так, енергоємність у машинобудуванні збільшилася на 57%</w:t>
      </w:r>
      <w:hyperlink w:anchor="_ftn3" w:history="1">
        <w:r>
          <w:rPr/>
          <w:t xml:space="preserve">[3]</w:t>
        </w:r>
      </w:hyperlink>
      <w:r>
        <w:rPr/>
        <w:t xml:space="preserve">. Високі значення енергоємності ВВП України, свідчать про низьку конкурентоспроможність економіки нашої держави. Україна займає в рейтингу країн світу 85/141 місце за Індексом глобальної конкурентоспроможності (GCI) за 2019 рік (в тому числі, за компонентами: 53 місце за якістю регулювання в сфері енергоефективності, 71 місце за якістю інфраструктури електро-, газо-,  тепло-, водопостачання)</w:t>
      </w:r>
      <w:hyperlink w:anchor="_ftn4" w:history="1">
        <w:r>
          <w:rPr/>
          <w:t xml:space="preserve">[4]</w:t>
        </w:r>
      </w:hyperlink>
    </w:p>
    <w:p>
      <w:pPr/>
      <w:r>
        <w:rPr/>
        <w:t xml:space="preserve"> </w:t>
      </w:r>
    </w:p>
    <w:p>
      <w:pPr/>
      <w:hyperlink w:anchor="_ftnref1" w:history="1">
        <w:r>
          <w:rPr/>
          <w:t xml:space="preserve">[1]</w:t>
        </w:r>
      </w:hyperlink>
      <w:r>
        <w:rPr/>
        <w:t xml:space="preserve"> Загальнонаціональне дослідження Центру соціальних та маркетингових досліджень «Социс». </w:t>
      </w:r>
      <w:hyperlink r:id="rId14" w:history="1">
        <w:r>
          <w:rPr/>
          <w:t xml:space="preserve">http://socis.kiev.ua/ua/2019-03/</w:t>
        </w:r>
      </w:hyperlink>
    </w:p>
    <w:p>
      <w:pPr/>
      <w:hyperlink w:anchor="_ftnref2" w:history="1">
        <w:r>
          <w:rPr/>
          <w:t xml:space="preserve">[2]</w:t>
        </w:r>
      </w:hyperlink>
      <w:r>
        <w:rPr/>
        <w:t xml:space="preserve"> Держстат. Витрати і ресурси домогосподарств України (за даними вибіркового обстеження умов життя домогосподарств) за 9 міс 2018 року.</w:t>
      </w:r>
    </w:p>
    <w:p>
      <w:pPr/>
      <w:hyperlink w:anchor="_ftnref3" w:history="1">
        <w:r>
          <w:rPr/>
          <w:t xml:space="preserve">[3]</w:t>
        </w:r>
      </w:hyperlink>
      <w:r>
        <w:rPr/>
        <w:t xml:space="preserve"> BRDO. Зелена книга "Стимулювання промислових підприємств до енергоефективності та захисту клімату".</w:t>
      </w:r>
    </w:p>
    <w:p>
      <w:pPr/>
      <w:hyperlink w:anchor="_ftnref4" w:history="1">
        <w:r>
          <w:rPr/>
          <w:t xml:space="preserve">[4]</w:t>
        </w:r>
      </w:hyperlink>
      <w:r>
        <w:rPr/>
        <w:t xml:space="preserve"> </w:t>
      </w:r>
      <w:hyperlink r:id="rId17" w:history="1">
        <w:r>
          <w:rPr/>
          <w:t xml:space="preserve">http://www3.weforum.org/docs/WEF_TheGlobalCompetitivenessReport2019.pdf</w:t>
        </w:r>
      </w:hyperlink>
    </w:p>
    <w:p>
      <w:pPr/>
      <w:r>
        <w:rPr>
          <w:b w:val="1"/>
          <w:bCs w:val="1"/>
        </w:rPr>
        <w:t xml:space="preserve">1.5. Динаміка проблеми:  Негативна</w:t>
      </w:r>
    </w:p>
    <w:p>
      <w:pPr/>
      <w:r>
        <w:rPr/>
        <w:t xml:space="preserve">У 2013 році лише 8% населення не мали можливості своєчасно та в повному обсязі сплатити рахунки за житло та необхідні послуги з його утримання або оплати газу для приготування їжі. У 2015 році така частка становила 20%, а у 2017 році чверть населення не мали достатньо коштів для своєчасної та в повному обсязі оплати рахунків за житло та необхідні послуги з його утримання</w:t>
      </w:r>
      <w:hyperlink w:anchor="_ftn1" w:history="1">
        <w:r>
          <w:rPr/>
          <w:t xml:space="preserve">[1]</w:t>
        </w:r>
      </w:hyperlink>
      <w:r>
        <w:rPr/>
        <w:t xml:space="preserve">.</w:t>
      </w:r>
    </w:p>
    <w:p>
      <w:pPr/>
      <w:r>
        <w:rPr/>
        <w:t xml:space="preserve"> </w:t>
      </w:r>
    </w:p>
    <w:p>
      <w:pPr/>
      <w:r>
        <w:rPr/>
        <w:t xml:space="preserve">2. позитивна:</w:t>
      </w:r>
    </w:p>
    <w:p>
      <w:pPr/>
      <w:r>
        <w:rPr/>
        <w:t xml:space="preserve">Енергоємність економіки протягом з 2013 року до 2017 року зменшилася з 0,305 тне/1000 дол до 0,267 тне/1000 дол</w:t>
      </w:r>
      <w:hyperlink w:anchor="_ftn2" w:history="1">
        <w:r>
          <w:rPr/>
          <w:t xml:space="preserve">[2]</w:t>
        </w:r>
      </w:hyperlink>
      <w:r>
        <w:rPr/>
        <w:t xml:space="preserve">. Водночас, слід зазначити, що така позитивна динаміка цього показника зумовлена передусім скороченням виробництва. Починаючи з 2012 року відбувалося прискорене падіння промислового виробництва, яке до 2015 року досягло -13%. В 2013-15 рр. ситуація додатково ускладнилась через військову агресію (зокрема, через втрату сегментів ланцюгів доданої вартості в Донбасі та Криму) та несприятливу експортну кон’юнктуру. Тільки у 2016 році, вперше з 2011 року, відбулось зростання промислового виробництва на 2,8%</w:t>
      </w:r>
    </w:p>
    <w:p>
      <w:pPr/>
      <w:r>
        <w:rPr/>
        <w:t xml:space="preserve"> </w:t>
      </w:r>
    </w:p>
    <w:p>
      <w:pPr/>
      <w:hyperlink w:anchor="_ftnref1" w:history="1">
        <w:r>
          <w:rPr/>
          <w:t xml:space="preserve">[1]</w:t>
        </w:r>
      </w:hyperlink>
      <w:r>
        <w:rPr/>
        <w:t xml:space="preserve"> Держстат. Самооцінка домогосподарствами України рівня своїх доходів.</w:t>
      </w:r>
    </w:p>
    <w:p>
      <w:pPr/>
      <w:hyperlink w:anchor="_ftnref2" w:history="1">
        <w:r>
          <w:rPr/>
          <w:t xml:space="preserve">[2]</w:t>
        </w:r>
      </w:hyperlink>
      <w:r>
        <w:rPr/>
        <w:t xml:space="preserve"> Держстат. Енергетичний баланс України</w:t>
      </w:r>
    </w:p>
    <w:p>
      <w:pPr/>
      <w:r>
        <w:rPr>
          <w:b w:val="1"/>
          <w:bCs w:val="1"/>
        </w:rPr>
        <w:t xml:space="preserve">1.6. Причини проблеми</w:t>
      </w:r>
    </w:p>
    <w:p>
      <w:pPr/>
      <w:r>
        <w:rPr/>
        <w:t xml:space="preserve">Причина 1 - Енергетична бідність</w:t>
      </w:r>
    </w:p>
    <w:p>
      <w:pPr/>
      <w:r>
        <w:rPr/>
        <w:t xml:space="preserve">Причина 2 - Низька енергоефективність економіки</w:t>
      </w:r>
    </w:p>
    <w:p>
      <w:pPr/>
      <w:r>
        <w:rPr>
          <w:b w:val="1"/>
          <w:bCs w:val="1"/>
        </w:rPr>
        <w:t xml:space="preserve">1.7. Показники ефективності політики</w:t>
      </w:r>
    </w:p>
    <w:p>
      <w:pPr>
        <w:numPr>
          <w:ilvl w:val="0"/>
          <w:numId w:val="1"/>
        </w:numPr>
      </w:pPr>
      <w:r>
        <w:rPr/>
        <w:t xml:space="preserve">Зниження витрат енергії на одиницю ВВП</w:t>
      </w:r>
    </w:p>
    <w:p>
      <w:pPr>
        <w:numPr>
          <w:ilvl w:val="0"/>
          <w:numId w:val="1"/>
        </w:numPr>
      </w:pPr>
      <w:r>
        <w:rPr/>
        <w:t xml:space="preserve">Зменшення кількості споживачів, що перебувають за межею енергетичної бідності та потребують державної підтримки</w:t>
      </w:r>
    </w:p>
    <w:p>
      <w:pPr/>
      <w:r>
        <w:rPr>
          <w:b w:val="1"/>
          <w:bCs w:val="1"/>
        </w:rPr>
        <w:t xml:space="preserve">1.8. Опис чинної державної політики щодо вирішення проблеми / її причин.</w:t>
      </w:r>
    </w:p>
    <w:p>
      <w:pPr/>
      <w:r>
        <w:rPr/>
        <w:t xml:space="preserve">В Україні прийнято закони, якими впроваджено правові передумови для запуску конкурентних енергетичних ринків, що, в свою чергу, створює передумови для підвищення рівня енергоефективності економіки: Закони України «Про ринок електроенергії» та «Про ринок природного газу».</w:t>
      </w:r>
    </w:p>
    <w:p>
      <w:pPr/>
      <w:r>
        <w:rPr/>
        <w:t xml:space="preserve">Існують державні механізми співфінансування державою здійснення енергоефективних заходів:</w:t>
      </w:r>
    </w:p>
    <w:p>
      <w:pPr/>
      <w:r>
        <w:rPr/>
        <w:t xml:space="preserve">-  Державна цільова економічна програма енергоефективності і розвитку сфери виробництва енергоносіїв з відновлюваних джерел енергії та альтернативних видів палива на 2010 - 2020 роки;</w:t>
      </w:r>
    </w:p>
    <w:p>
      <w:pPr/>
      <w:r>
        <w:rPr/>
        <w:t xml:space="preserve">- Фонд енергоефективності (надає гранти виключно для об’єднань співвласників багатоквартирних будинків).</w:t>
      </w:r>
    </w:p>
    <w:p>
      <w:pPr/>
      <w:r>
        <w:rPr/>
        <w:t xml:space="preserve">Разом з тим, реалізація цих програм поки не призвела до здійснення масштабної комплексної термомодернізації будинків: програма "теплі" кредити не фінансується достатньою мірою, а Фонд енергоефективності потребує високоорганізованого клієнта (ОСББ), який здатний брати на себе невластиві функції, такі як відбір підрядників, контроль за якістю робіт.</w:t>
      </w:r>
    </w:p>
    <w:p>
      <w:pPr/>
      <w:r>
        <w:rPr/>
        <w:t xml:space="preserve">Окрім цього, не здійснювалися заходи із системного оновлення мереж електро-, газо- та теплопостачання та об’єктів генерації енергії, оскільки такі заходи потребують значних витрат, мають довгі строки окупності та потребують фінансування з інвестиційних програм.</w:t>
      </w:r>
    </w:p>
    <w:p>
      <w:pPr/>
      <w:r>
        <w:rPr/>
        <w:t xml:space="preserve">Відсутні інструменти фінансового стимулювання суб’єктів господарювання до впровадження енергоефективних заходів.</w:t>
      </w:r>
    </w:p>
    <w:p>
      <w:pPr/>
      <w:r>
        <w:rPr/>
        <w:t xml:space="preserve">Також, в країні досі бракує базового системного закону щодо ефективного використання паливно-енергетичних ресурсів за ланцюгом від генерації енергії до її споживання</w:t>
      </w:r>
    </w:p>
    <w:p>
      <w:pPr/>
      <w:r>
        <w:rPr>
          <w:b w:val="1"/>
          <w:bCs w:val="1"/>
        </w:rPr>
        <w:t xml:space="preserve">2.	ПРОПОНОВАНИЙ КУРС ПОЛІТИКИ</w:t>
      </w:r>
    </w:p>
    <w:p>
      <w:pPr/>
      <w:r>
        <w:rPr>
          <w:b w:val="1"/>
          <w:bCs w:val="1"/>
        </w:rPr>
        <w:t xml:space="preserve">2.1. Підціль 1 “Зменшення енергоспоживання населенням за рахунок впровадження енергоефективних заходів”</w:t>
      </w:r>
    </w:p>
    <w:p>
      <w:pPr/>
      <w:r>
        <w:rPr>
          <w:b w:val="1"/>
          <w:bCs w:val="1"/>
        </w:rPr>
        <w:t xml:space="preserve">Показники результативності: </w:t>
      </w:r>
    </w:p>
    <w:p>
      <w:pPr>
        <w:numPr>
          <w:ilvl w:val="0"/>
          <w:numId w:val="1"/>
        </w:numPr>
      </w:pPr>
      <w:r>
        <w:rPr/>
        <w:t xml:space="preserve">Збільшено кількість споживачів, що скористались державною підтримкою для впровадження комплексних чи часткових заходів з енергомодернізації власних житлових приміщень</w:t>
      </w:r>
    </w:p>
    <w:p>
      <w:pPr/>
      <w:r>
        <w:rPr>
          <w:b w:val="1"/>
          <w:bCs w:val="1"/>
        </w:rPr>
        <w:t xml:space="preserve">Завдання до підцілі 1: </w:t>
      </w:r>
    </w:p>
    <w:p>
      <w:pPr>
        <w:numPr>
          <w:ilvl w:val="0"/>
          <w:numId w:val="1"/>
        </w:numPr>
      </w:pPr>
      <w:r>
        <w:rPr/>
        <w:t xml:space="preserve">Українці отримують повну та зрозумілу інформацію про своє енергоспоживання</w:t>
      </w:r>
    </w:p>
    <w:p>
      <w:pPr>
        <w:numPr>
          <w:ilvl w:val="0"/>
          <w:numId w:val="1"/>
        </w:numPr>
      </w:pPr>
      <w:r>
        <w:rPr/>
        <w:t xml:space="preserve">Продовження дії фінансового механізму підтримки по впровадженню енергоефективних заходів населенням</w:t>
      </w:r>
    </w:p>
    <w:p>
      <w:pPr/>
      <w:r>
        <w:rPr>
          <w:b w:val="1"/>
          <w:bCs w:val="1"/>
        </w:rPr>
        <w:t xml:space="preserve">2.2. Підціль 2 “Збільшення рівня поінформованості населення про енергоефективні заходи та програми їх фінансування”</w:t>
      </w:r>
    </w:p>
    <w:p>
      <w:pPr/>
      <w:r>
        <w:rPr>
          <w:b w:val="1"/>
          <w:bCs w:val="1"/>
        </w:rPr>
        <w:t xml:space="preserve">Показники результативності: </w:t>
      </w:r>
    </w:p>
    <w:p>
      <w:pPr>
        <w:numPr>
          <w:ilvl w:val="0"/>
          <w:numId w:val="1"/>
        </w:numPr>
      </w:pPr>
      <w:r>
        <w:rPr/>
        <w:t xml:space="preserve">Збільшено кількість споживачів, що скористались державною підтримкою для впровадження комплексних чи часткових заходів з енергомодернізації власних житлових приміщень</w:t>
      </w:r>
    </w:p>
    <w:p>
      <w:pPr/>
      <w:r>
        <w:rPr>
          <w:b w:val="1"/>
          <w:bCs w:val="1"/>
        </w:rPr>
        <w:t xml:space="preserve">Завдання до підцілі 2: </w:t>
      </w:r>
    </w:p>
    <w:p>
      <w:pPr>
        <w:numPr>
          <w:ilvl w:val="0"/>
          <w:numId w:val="1"/>
        </w:numPr>
      </w:pPr>
      <w:r>
        <w:rPr/>
        <w:t xml:space="preserve">Інформування  про заходи, що зменшують енергоспоживання, та можливості фінансування їх впровадження</w:t>
      </w:r>
    </w:p>
    <w:p>
      <w:pPr/>
      <w:r>
        <w:rPr>
          <w:b w:val="1"/>
          <w:bCs w:val="1"/>
        </w:rPr>
        <w:t xml:space="preserve">2.3. Підціль 3 “Підвищення ефективності генерації, транспортування та споживання енергії”</w:t>
      </w:r>
    </w:p>
    <w:p>
      <w:pPr/>
      <w:r>
        <w:rPr>
          <w:b w:val="1"/>
          <w:bCs w:val="1"/>
        </w:rPr>
        <w:t xml:space="preserve">Показники результативності: </w:t>
      </w:r>
    </w:p>
    <w:p>
      <w:pPr>
        <w:numPr>
          <w:ilvl w:val="0"/>
          <w:numId w:val="1"/>
        </w:numPr>
      </w:pPr>
      <w:r>
        <w:rPr/>
        <w:t xml:space="preserve">Зниження питомих витрат енергії на одиницю ВВП</w:t>
      </w:r>
    </w:p>
    <w:p>
      <w:pPr/>
      <w:r>
        <w:rPr>
          <w:b w:val="1"/>
          <w:bCs w:val="1"/>
        </w:rPr>
        <w:t xml:space="preserve">Завдання до підцілі 3: </w:t>
      </w:r>
    </w:p>
    <w:p>
      <w:pPr>
        <w:numPr>
          <w:ilvl w:val="0"/>
          <w:numId w:val="1"/>
        </w:numPr>
      </w:pPr>
      <w:r>
        <w:rPr/>
        <w:t xml:space="preserve">Приведення українського законодавства в сфері енергоефективності у відповідність до acquis ЄС</w:t>
      </w:r>
    </w:p>
    <w:p>
      <w:pPr/>
      <w:r>
        <w:rPr>
          <w:b w:val="1"/>
          <w:bCs w:val="1"/>
        </w:rPr>
        <w:t xml:space="preserve">2.4. Підціль 4 “Виявлення можливостей для скорочення енергоспоживання підприємств”</w:t>
      </w:r>
    </w:p>
    <w:p>
      <w:pPr/>
      <w:r>
        <w:rPr>
          <w:b w:val="1"/>
          <w:bCs w:val="1"/>
        </w:rPr>
        <w:t xml:space="preserve">Показники результативності: </w:t>
      </w:r>
    </w:p>
    <w:p>
      <w:pPr>
        <w:numPr>
          <w:ilvl w:val="0"/>
          <w:numId w:val="1"/>
        </w:numPr>
      </w:pPr>
      <w:r>
        <w:rPr/>
        <w:t xml:space="preserve">Зниження питомих витрат енергії на одиницю ВВП</w:t>
      </w:r>
    </w:p>
    <w:p>
      <w:pPr/>
      <w:r>
        <w:rPr>
          <w:b w:val="1"/>
          <w:bCs w:val="1"/>
        </w:rPr>
        <w:t xml:space="preserve">Завдання до підцілі 4: </w:t>
      </w:r>
    </w:p>
    <w:p>
      <w:pPr>
        <w:numPr>
          <w:ilvl w:val="0"/>
          <w:numId w:val="1"/>
        </w:numPr>
      </w:pPr>
      <w:r>
        <w:rPr/>
        <w:t xml:space="preserve">Впровадження обов’язкових енергоаудитів для великих підприємств або великих споживачів енергії, стимулювання до впровадження систем енергоменеджменту</w:t>
      </w:r>
    </w:p>
    <w:p>
      <w:pPr>
        <w:numPr>
          <w:ilvl w:val="0"/>
          <w:numId w:val="1"/>
        </w:numPr>
      </w:pPr>
      <w:r>
        <w:rPr/>
        <w:t xml:space="preserve">Створення умов для підвищення ефективності генерації енергії та розвитку високоефективної когенерації</w:t>
      </w:r>
    </w:p>
    <w:p>
      <w:pPr/>
      <w:r>
        <w:rPr>
          <w:b w:val="1"/>
          <w:bCs w:val="1"/>
        </w:rPr>
        <w:t xml:space="preserve">2.5. Підціль 5 “Розширення доступу до фінансування для цілей підвищення рівня енергоефективності економіки та боротьби з енергетичною бідністю”</w:t>
      </w:r>
    </w:p>
    <w:p>
      <w:pPr/>
      <w:r>
        <w:rPr>
          <w:b w:val="1"/>
          <w:bCs w:val="1"/>
        </w:rPr>
        <w:t xml:space="preserve">Показники результативності: </w:t>
      </w:r>
    </w:p>
    <w:p>
      <w:pPr>
        <w:numPr>
          <w:ilvl w:val="0"/>
          <w:numId w:val="1"/>
        </w:numPr>
      </w:pPr>
      <w:r>
        <w:rPr/>
        <w:t xml:space="preserve">Зниження питомих витрат енергії на одиницю ВВП</w:t>
      </w:r>
    </w:p>
    <w:p>
      <w:pPr/>
      <w:r>
        <w:rPr>
          <w:b w:val="1"/>
          <w:bCs w:val="1"/>
        </w:rPr>
        <w:t xml:space="preserve">Завдання до підцілі 5: </w:t>
      </w:r>
    </w:p>
    <w:p>
      <w:pPr>
        <w:numPr>
          <w:ilvl w:val="0"/>
          <w:numId w:val="1"/>
        </w:numPr>
      </w:pPr>
      <w:r>
        <w:rPr/>
        <w:t xml:space="preserve">Розроблення механізму фінансування впровадження енергоефективних заходів для суб’єктів господарювання</w:t>
      </w:r>
    </w:p>
    <w:p>
      <w:pPr>
        <w:numPr>
          <w:ilvl w:val="0"/>
          <w:numId w:val="1"/>
        </w:numPr>
      </w:pPr>
      <w:r>
        <w:rPr/>
        <w:t xml:space="preserve">Надання інформації щодо ресурсоефективності підприємств та впровадження чистих технологій</w:t>
      </w:r>
    </w:p>
    <w:p>
      <w:pPr/>
      <w:r>
        <w:rPr>
          <w:b w:val="1"/>
          <w:bCs w:val="1"/>
        </w:rPr>
        <w:t xml:space="preserve">2.6. Підціль 6 “Зменшення кількості неефективних енергоспоживчих продуктів/обладнання через обмеження допуску в цивільний обіг таких товарів або маркування їх класу енергоефективності”</w:t>
      </w:r>
    </w:p>
    <w:p>
      <w:pPr/>
      <w:r>
        <w:rPr>
          <w:b w:val="1"/>
          <w:bCs w:val="1"/>
        </w:rPr>
        <w:t xml:space="preserve">Показники результативності: </w:t>
      </w:r>
    </w:p>
    <w:p>
      <w:pPr>
        <w:numPr>
          <w:ilvl w:val="0"/>
          <w:numId w:val="1"/>
        </w:numPr>
      </w:pPr>
      <w:r>
        <w:rPr/>
        <w:t xml:space="preserve">Зниження питомих витрат енергії на одиницю ВВП</w:t>
      </w:r>
    </w:p>
    <w:p>
      <w:pPr/>
      <w:r>
        <w:rPr>
          <w:b w:val="1"/>
          <w:bCs w:val="1"/>
        </w:rPr>
        <w:t xml:space="preserve">Завдання до підцілі 6: </w:t>
      </w:r>
    </w:p>
    <w:p>
      <w:pPr>
        <w:numPr>
          <w:ilvl w:val="0"/>
          <w:numId w:val="1"/>
        </w:numPr>
      </w:pPr>
      <w:r>
        <w:rPr/>
        <w:t xml:space="preserve">Визначення вимог з екодизайну та енергетичного маркування енергоспоживчих продуктів</w:t>
      </w:r>
    </w:p>
    <w:p>
      <w:pPr/>
      <w:r>
        <w:rPr>
          <w:b w:val="1"/>
          <w:bCs w:val="1"/>
        </w:rPr>
        <w:t xml:space="preserve">2.7. Підціль 7 “Підвищення рівня енергоефективності транспорту, зокрема, шляхом стимулювання використання електротранспорту та гібридних автомобілів”</w:t>
      </w:r>
    </w:p>
    <w:p>
      <w:pPr/>
      <w:r>
        <w:rPr>
          <w:b w:val="1"/>
          <w:bCs w:val="1"/>
        </w:rPr>
        <w:t xml:space="preserve">Показники результативності: </w:t>
      </w:r>
    </w:p>
    <w:p>
      <w:pPr>
        <w:numPr>
          <w:ilvl w:val="0"/>
          <w:numId w:val="1"/>
        </w:numPr>
      </w:pPr>
      <w:r>
        <w:rPr/>
        <w:t xml:space="preserve">Зниження питомих витрат енергії на одиницю ВВП</w:t>
      </w:r>
    </w:p>
    <w:p>
      <w:pPr/>
      <w:r>
        <w:rPr>
          <w:b w:val="1"/>
          <w:bCs w:val="1"/>
        </w:rPr>
        <w:t xml:space="preserve">Завдання до підцілі 7: </w:t>
      </w:r>
    </w:p>
    <w:p>
      <w:pPr>
        <w:numPr>
          <w:ilvl w:val="0"/>
          <w:numId w:val="1"/>
        </w:numPr>
      </w:pPr>
      <w:r>
        <w:rPr/>
        <w:t xml:space="preserve">Впровадження міжнародних стандартів щодо розвитку, поширення та експлуатації електротранспорту та гібридних автомобілів, спрощення підключення задля розвитку мережі зарядних станцій</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Зменшення енергоспоживання населенням за рахунок впровадження енергоефективних заходів</w:t>
            </w:r>
          </w:p>
        </w:tc>
        <w:tc>
          <w:tcPr>
            <w:vAlign w:val="center"/>
            <w:vMerge w:val="restart"/>
          </w:tcPr>
          <w:p>
            <w:pPr>
              <w:jc w:val="center"/>
            </w:pPr>
            <w:r>
              <w:rPr>
                <w:sz w:val="20"/>
                <w:szCs w:val="20"/>
              </w:rPr>
              <w:t xml:space="preserve">Українці отримують повну та зрозумілу інформацію про своє енергоспоживання</w:t>
            </w:r>
          </w:p>
        </w:tc>
        <w:tc>
          <w:tcPr>
            <w:vAlign w:val="center"/>
          </w:tcPr>
          <w:p>
            <w:pPr>
              <w:jc w:val="center"/>
            </w:pPr>
            <w:r>
              <w:rPr>
                <w:sz w:val="20"/>
                <w:szCs w:val="20"/>
              </w:rPr>
              <w:t xml:space="preserve">Прийняття змін до законодавства з метою приведення всіх енергетичних товарів до однієї еквівалентної величини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Продовження дії фінансового механізму підтримки по впровадженню енергоефективних заходів населенням</w:t>
            </w:r>
          </w:p>
        </w:tc>
        <w:tc>
          <w:tcPr>
            <w:vAlign w:val="center"/>
          </w:tcPr>
          <w:p>
            <w:pPr>
              <w:jc w:val="center"/>
            </w:pPr>
            <w:r>
              <w:rPr>
                <w:sz w:val="20"/>
                <w:szCs w:val="20"/>
              </w:rPr>
              <w:t xml:space="preserve">Схвалення Урядом концепції Державної цільової економічної програми з енергоефективності на 2021-2025 роки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w:t>
            </w:r>
          </w:p>
        </w:tc>
      </w:tr>
      <w:tr>
        <w:trPr/>
        <w:tc>
          <w:tcPr>
            <w:vAlign w:val="center"/>
            <w:vMerge w:val="restart"/>
          </w:tcPr>
          <w:p>
            <w:pPr>
              <w:jc w:val="center"/>
            </w:pPr>
            <w:r>
              <w:rPr>
                <w:sz w:val="20"/>
                <w:szCs w:val="20"/>
              </w:rPr>
              <w:t xml:space="preserve">Збільшення рівня поінформованості населення про енергоефективні заходи та програми їх фінансування</w:t>
            </w:r>
          </w:p>
        </w:tc>
        <w:tc>
          <w:tcPr>
            <w:vAlign w:val="center"/>
            <w:vMerge w:val="restart"/>
          </w:tcPr>
          <w:p>
            <w:pPr>
              <w:jc w:val="center"/>
            </w:pPr>
            <w:r>
              <w:rPr>
                <w:sz w:val="20"/>
                <w:szCs w:val="20"/>
              </w:rPr>
              <w:t xml:space="preserve">Інформування  про заходи, що зменшують енергоспоживання, та можливості фінансування їх впровадження</w:t>
            </w:r>
          </w:p>
        </w:tc>
        <w:tc>
          <w:tcPr>
            <w:vAlign w:val="center"/>
          </w:tcPr>
          <w:p>
            <w:pPr>
              <w:jc w:val="center"/>
            </w:pPr>
            <w:r>
              <w:rPr>
                <w:sz w:val="20"/>
                <w:szCs w:val="20"/>
              </w:rPr>
              <w:t xml:space="preserve">Висвітлення інформації про державні та місцеві програми в ЗМІ та соціальних мережах, проведення інформаційних заходів</w:t>
            </w:r>
          </w:p>
        </w:tc>
        <w:tc>
          <w:tcPr>
            <w:tcW w:w="1500" w:type="dxa"/>
            <w:vAlign w:val="center"/>
          </w:tcPr>
          <w:p>
            <w:pPr>
              <w:jc w:val="center"/>
            </w:pPr>
            <w:r>
              <w:rPr>
                <w:sz w:val="20"/>
                <w:szCs w:val="20"/>
              </w:rPr>
              <w:t xml:space="preserve">28-08-2019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Держенергоефективності</w:t>
            </w:r>
          </w:p>
        </w:tc>
      </w:tr>
      <w:tr>
        <w:trPr/>
        <w:tc>
          <w:tcPr>
            <w:vAlign w:val="center"/>
            <w:vMerge w:val="restart"/>
          </w:tcPr>
          <w:p>
            <w:pPr>
              <w:jc w:val="center"/>
            </w:pPr>
            <w:r>
              <w:rPr>
                <w:sz w:val="20"/>
                <w:szCs w:val="20"/>
              </w:rPr>
              <w:t xml:space="preserve">Підвищення ефективності генерації, транспортування та споживання енергії</w:t>
            </w:r>
          </w:p>
        </w:tc>
        <w:tc>
          <w:tcPr>
            <w:vAlign w:val="center"/>
            <w:vMerge w:val="restart"/>
          </w:tcPr>
          <w:p>
            <w:pPr>
              <w:jc w:val="center"/>
            </w:pPr>
            <w:r>
              <w:rPr>
                <w:sz w:val="20"/>
                <w:szCs w:val="20"/>
              </w:rPr>
              <w:t xml:space="preserve">Приведення українського законодавства в сфері енергоефективності у відповідність до acquis ЄС</w:t>
            </w:r>
          </w:p>
        </w:tc>
        <w:tc>
          <w:tcPr>
            <w:vAlign w:val="center"/>
          </w:tcPr>
          <w:p>
            <w:pPr>
              <w:jc w:val="center"/>
            </w:pPr>
            <w:r>
              <w:rPr>
                <w:sz w:val="20"/>
                <w:szCs w:val="20"/>
              </w:rPr>
              <w:t xml:space="preserve">Розроблення та схвалення Урядом базового закону про енергетичну ефективність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
Держенергоефективності; Мінрегіон
</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національного плану дій з енергоефективності до 2030 року (як окремого документу або як складової частини інтегрованого Національного плану з енергетики та клімату)</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
Держенергоефективності; Мінрегіон
</w:t>
            </w:r>
          </w:p>
        </w:tc>
      </w:tr>
      <w:tr>
        <w:trPr/>
        <w:tc>
          <w:tcPr>
            <w:vMerge w:val="continue"/>
          </w:tcPr>
          <w:p/>
        </w:tc>
        <w:tc>
          <w:tcPr>
            <w:vMerge w:val="continue"/>
          </w:tcPr>
          <w:p/>
        </w:tc>
        <w:tc>
          <w:tcPr>
            <w:vAlign w:val="center"/>
          </w:tcPr>
          <w:p>
            <w:pPr>
              <w:jc w:val="center"/>
            </w:pPr>
            <w:r>
              <w:rPr>
                <w:sz w:val="20"/>
                <w:szCs w:val="20"/>
              </w:rPr>
              <w:t xml:space="preserve">Оптимізація процедур публічних закупівель енергосервісу шляхом внесення змін до профільного законодавства</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
Держенергоефективності; Мінрегіон; Мінекономіки
</w:t>
            </w:r>
          </w:p>
        </w:tc>
      </w:tr>
      <w:tr>
        <w:trPr/>
        <w:tc>
          <w:tcPr>
            <w:vAlign w:val="center"/>
            <w:vMerge w:val="restart"/>
          </w:tcPr>
          <w:p>
            <w:pPr>
              <w:jc w:val="center"/>
            </w:pPr>
            <w:r>
              <w:rPr>
                <w:sz w:val="20"/>
                <w:szCs w:val="20"/>
              </w:rPr>
              <w:t xml:space="preserve">Виявлення можливостей для скорочення енергоспоживання підприємств</w:t>
            </w:r>
          </w:p>
        </w:tc>
        <w:tc>
          <w:tcPr>
            <w:vAlign w:val="center"/>
            <w:vMerge w:val="restart"/>
          </w:tcPr>
          <w:p>
            <w:pPr>
              <w:jc w:val="center"/>
            </w:pPr>
            <w:r>
              <w:rPr>
                <w:sz w:val="20"/>
                <w:szCs w:val="20"/>
              </w:rPr>
              <w:t xml:space="preserve">Впровадження обов’язкових енергоаудитів для великих підприємств або великих споживачів енергії, стимулювання до впровадження систем енергоменеджменту</w:t>
            </w:r>
          </w:p>
        </w:tc>
        <w:tc>
          <w:tcPr>
            <w:vAlign w:val="center"/>
          </w:tcPr>
          <w:p>
            <w:pPr>
              <w:jc w:val="center"/>
            </w:pPr>
            <w:r>
              <w:rPr>
                <w:sz w:val="20"/>
                <w:szCs w:val="20"/>
              </w:rPr>
              <w:t xml:space="preserve">Прийняття змін до законодавства з метою визначення вимог до  енергоаудитів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Прийняття змін до законодавства з метою впровадження схеми підтвердження кваліфікації енергоаудиторів</w:t>
            </w:r>
          </w:p>
        </w:tc>
        <w:tc>
          <w:tcPr>
            <w:tcW w:w="1500" w:type="dxa"/>
            <w:vAlign w:val="center"/>
          </w:tcPr>
          <w:p>
            <w:pPr>
              <w:jc w:val="center"/>
            </w:pPr>
            <w:r>
              <w:rPr>
                <w:sz w:val="20"/>
                <w:szCs w:val="20"/>
              </w:rPr>
              <w:t xml:space="preserve">01-05-2020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Проведення інформаційних заходів про переваги енергоаудитів та систем енергоменеджменту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Створення умов для підвищення ефективності генерації енергії та розвитку високоефективної когенерації</w:t>
            </w:r>
          </w:p>
        </w:tc>
        <w:tc>
          <w:tcPr>
            <w:vAlign w:val="center"/>
          </w:tcPr>
          <w:p>
            <w:pPr>
              <w:jc w:val="center"/>
            </w:pPr>
            <w:r>
              <w:rPr>
                <w:sz w:val="20"/>
                <w:szCs w:val="20"/>
              </w:rPr>
              <w:t xml:space="preserve">Впровадження високоефективної когенерації відповідно до принципів та положень законодавства ЄС шляхом прийняття Закону України «Про внесення змін до Закону України «Про комбіноване виробництво теплової та електричної енергії (когенерацію) та використання скидного енергопотенціалу» щодо розвитку високоефективної когенерації</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Мінрегіон</w:t>
            </w:r>
          </w:p>
        </w:tc>
      </w:tr>
      <w:tr>
        <w:trPr/>
        <w:tc>
          <w:tcPr>
            <w:vMerge w:val="continue"/>
          </w:tcPr>
          <w:p/>
        </w:tc>
        <w:tc>
          <w:tcPr>
            <w:vMerge w:val="continue"/>
          </w:tcPr>
          <w:p/>
        </w:tc>
        <w:tc>
          <w:tcPr>
            <w:vAlign w:val="center"/>
          </w:tcPr>
          <w:p>
            <w:pPr>
              <w:jc w:val="center"/>
            </w:pPr>
            <w:r>
              <w:rPr>
                <w:sz w:val="20"/>
                <w:szCs w:val="20"/>
              </w:rPr>
              <w:t xml:space="preserve">Створення законодавчого підґрунтя для стимулювання здійснення енергосервісу на підприємствах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Align w:val="center"/>
            <w:vMerge w:val="restart"/>
          </w:tcPr>
          <w:p>
            <w:pPr>
              <w:jc w:val="center"/>
            </w:pPr>
            <w:r>
              <w:rPr>
                <w:sz w:val="20"/>
                <w:szCs w:val="20"/>
              </w:rPr>
              <w:t xml:space="preserve">Розширення доступу до фінансування для цілей підвищення рівня енергоефективності економіки та боротьби з енергетичною бідністю</w:t>
            </w:r>
          </w:p>
        </w:tc>
        <w:tc>
          <w:tcPr>
            <w:vAlign w:val="center"/>
            <w:vMerge w:val="restart"/>
          </w:tcPr>
          <w:p>
            <w:pPr>
              <w:jc w:val="center"/>
            </w:pPr>
            <w:r>
              <w:rPr>
                <w:sz w:val="20"/>
                <w:szCs w:val="20"/>
              </w:rPr>
              <w:t xml:space="preserve">Розроблення механізму фінансування впровадження енергоефективних заходів для суб’єктів господарювання</w:t>
            </w:r>
          </w:p>
        </w:tc>
        <w:tc>
          <w:tcPr>
            <w:vAlign w:val="center"/>
          </w:tcPr>
          <w:p>
            <w:pPr>
              <w:jc w:val="center"/>
            </w:pPr>
            <w:r>
              <w:rPr>
                <w:sz w:val="20"/>
                <w:szCs w:val="20"/>
              </w:rPr>
              <w:t xml:space="preserve">Прийняття змін до Податкового кодексу України для забезпечення сталого фінансування енергоефективних заходів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Прийняття змін до Митного кодексу України для забезпечення сталого фінансування енергоефективних заходів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Прийняття змін до Бюджетного кодексу України для забезпечення сталого фінансування енергоефективних заходів</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Розроблення програми фінансування для підвищення рівня енергоефективності економіки та боротьби з енергетичною бідністю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Надання інформації щодо ресурсоефективності підприємств та впровадження чистих технологій</w:t>
            </w:r>
          </w:p>
        </w:tc>
        <w:tc>
          <w:tcPr>
            <w:vAlign w:val="center"/>
          </w:tcPr>
          <w:p>
            <w:pPr>
              <w:jc w:val="center"/>
            </w:pPr>
            <w:r>
              <w:rPr>
                <w:sz w:val="20"/>
                <w:szCs w:val="20"/>
              </w:rPr>
              <w:t xml:space="preserve">Регулярне висвітлення на відомчих та недержавних інформаційних ресурсах щодо можливостей підвещення ресурсоефективності та переваг чистих технологій</w:t>
            </w:r>
          </w:p>
        </w:tc>
        <w:tc>
          <w:tcPr>
            <w:tcW w:w="1500" w:type="dxa"/>
            <w:vAlign w:val="center"/>
          </w:tcPr>
          <w:p>
            <w:pPr>
              <w:jc w:val="center"/>
            </w:pPr>
            <w:r>
              <w:rPr>
                <w:sz w:val="20"/>
                <w:szCs w:val="20"/>
              </w:rPr>
              <w:t xml:space="preserve">28-08-2019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Держенергоефективності</w:t>
            </w:r>
          </w:p>
        </w:tc>
      </w:tr>
      <w:tr>
        <w:trPr/>
        <w:tc>
          <w:tcPr>
            <w:vAlign w:val="center"/>
            <w:vMerge w:val="restart"/>
          </w:tcPr>
          <w:p>
            <w:pPr>
              <w:jc w:val="center"/>
            </w:pPr>
            <w:r>
              <w:rPr>
                <w:sz w:val="20"/>
                <w:szCs w:val="20"/>
              </w:rPr>
              <w:t xml:space="preserve">Зменшення кількості неефективних енергоспоживчих продуктів/обладнання через обмеження допуску в цивільний обіг таких товарів або маркування їх класу енергоефективності</w:t>
            </w:r>
          </w:p>
        </w:tc>
        <w:tc>
          <w:tcPr>
            <w:vAlign w:val="center"/>
            <w:vMerge w:val="restart"/>
          </w:tcPr>
          <w:p>
            <w:pPr>
              <w:jc w:val="center"/>
            </w:pPr>
            <w:r>
              <w:rPr>
                <w:sz w:val="20"/>
                <w:szCs w:val="20"/>
              </w:rPr>
              <w:t xml:space="preserve">Визначення вимог з екодизайну та енергетичного маркування енергоспоживчих продуктів</w:t>
            </w:r>
          </w:p>
        </w:tc>
        <w:tc>
          <w:tcPr>
            <w:vAlign w:val="center"/>
          </w:tcPr>
          <w:p>
            <w:pPr>
              <w:jc w:val="center"/>
            </w:pPr>
            <w:r>
              <w:rPr>
                <w:sz w:val="20"/>
                <w:szCs w:val="20"/>
              </w:rPr>
              <w:t xml:space="preserve">Встановлення вимог до енергетичного маркування електричних прально-сушильних машин</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Merge w:val="continue"/>
          </w:tcPr>
          <w:p/>
        </w:tc>
        <w:tc>
          <w:tcPr>
            <w:vMerge w:val="continue"/>
          </w:tcPr>
          <w:p/>
        </w:tc>
        <w:tc>
          <w:tcPr>
            <w:vAlign w:val="center"/>
          </w:tcPr>
          <w:p>
            <w:pPr>
              <w:jc w:val="center"/>
            </w:pPr>
            <w:r>
              <w:rPr>
                <w:sz w:val="20"/>
                <w:szCs w:val="20"/>
              </w:rPr>
              <w:t xml:space="preserve">Встановлення вимог до енергетичного маркування обігрівачів приміщень, комбінованих обігрівачів, комплектів з обігрівача приміщень, регулятора температури і сонячної установки та комплектів з комбінованого обігрівача, регулятора температури і сонячної установки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Merge w:val="continue"/>
          </w:tcPr>
          <w:p/>
        </w:tc>
        <w:tc>
          <w:tcPr>
            <w:vMerge w:val="continue"/>
          </w:tcPr>
          <w:p/>
        </w:tc>
        <w:tc>
          <w:tcPr>
            <w:vAlign w:val="center"/>
          </w:tcPr>
          <w:p>
            <w:pPr>
              <w:jc w:val="center"/>
            </w:pPr>
            <w:r>
              <w:rPr>
                <w:sz w:val="20"/>
                <w:szCs w:val="20"/>
              </w:rPr>
              <w:t xml:space="preserve">Встановлення вимог до енергетичного маркування професійних холодильних шаф</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Merge w:val="continue"/>
          </w:tcPr>
          <w:p/>
        </w:tc>
        <w:tc>
          <w:tcPr>
            <w:vMerge w:val="continue"/>
          </w:tcPr>
          <w:p/>
        </w:tc>
        <w:tc>
          <w:tcPr>
            <w:vAlign w:val="center"/>
          </w:tcPr>
          <w:p>
            <w:pPr>
              <w:jc w:val="center"/>
            </w:pPr>
            <w:r>
              <w:rPr>
                <w:sz w:val="20"/>
                <w:szCs w:val="20"/>
              </w:rPr>
              <w:t xml:space="preserve">Встановлення вимог до енергетичного маркування твердопаливних котлів та комплектів, що складаються з твердопаливних котлів, додаткових обігрівачів, регуляторів температури і сонячних пристроїв</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Merge w:val="continue"/>
          </w:tcPr>
          <w:p/>
        </w:tc>
        <w:tc>
          <w:tcPr>
            <w:vMerge w:val="continue"/>
          </w:tcPr>
          <w:p/>
        </w:tc>
        <w:tc>
          <w:tcPr>
            <w:vAlign w:val="center"/>
          </w:tcPr>
          <w:p>
            <w:pPr>
              <w:jc w:val="center"/>
            </w:pPr>
            <w:r>
              <w:rPr>
                <w:sz w:val="20"/>
                <w:szCs w:val="20"/>
              </w:rPr>
              <w:t xml:space="preserve">Встановлення вимог до енергетичного маркування місцевих обігрівачів</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Merge w:val="continue"/>
          </w:tcPr>
          <w:p/>
        </w:tc>
        <w:tc>
          <w:tcPr>
            <w:vMerge w:val="continue"/>
          </w:tcPr>
          <w:p/>
        </w:tc>
        <w:tc>
          <w:tcPr>
            <w:vAlign w:val="center"/>
          </w:tcPr>
          <w:p>
            <w:pPr>
              <w:jc w:val="center"/>
            </w:pPr>
            <w:r>
              <w:rPr>
                <w:sz w:val="20"/>
                <w:szCs w:val="20"/>
              </w:rPr>
              <w:t xml:space="preserve">Встановлення вимог до енергетичного маркування вентиляторів житлових приміщень</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Держенергоефективності</w:t>
            </w:r>
          </w:p>
        </w:tc>
      </w:tr>
      <w:tr>
        <w:trPr/>
        <w:tc>
          <w:tcPr>
            <w:vAlign w:val="center"/>
            <w:vMerge w:val="restart"/>
          </w:tcPr>
          <w:p>
            <w:pPr>
              <w:jc w:val="center"/>
            </w:pPr>
            <w:r>
              <w:rPr>
                <w:sz w:val="20"/>
                <w:szCs w:val="20"/>
              </w:rPr>
              <w:t xml:space="preserve">Підвищення рівня енергоефективності транспорту, зокрема, шляхом стимулювання використання електротранспорту та гібридних автомобілів</w:t>
            </w:r>
          </w:p>
        </w:tc>
        <w:tc>
          <w:tcPr>
            <w:vAlign w:val="center"/>
            <w:vMerge w:val="restart"/>
          </w:tcPr>
          <w:p>
            <w:pPr>
              <w:jc w:val="center"/>
            </w:pPr>
            <w:r>
              <w:rPr>
                <w:sz w:val="20"/>
                <w:szCs w:val="20"/>
              </w:rPr>
              <w:t xml:space="preserve">Впровадження міжнародних стандартів щодо розвитку, поширення та експлуатації електротранспорту та гібридних автомобілів, спрощення підключення задля розвитку мережі зарядних станцій</w:t>
            </w:r>
          </w:p>
        </w:tc>
        <w:tc>
          <w:tcPr>
            <w:vAlign w:val="center"/>
          </w:tcPr>
          <w:p>
            <w:pPr>
              <w:jc w:val="center"/>
            </w:pPr>
            <w:r>
              <w:rPr>
                <w:sz w:val="20"/>
                <w:szCs w:val="20"/>
              </w:rPr>
              <w:t xml:space="preserve">Внесення змін до законодавства з метою спрощення приєднання до електромереж зарядних станцій для електромобілів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30-08-2021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Впровадження маркування автомобілів за рівнем їх економічності та викидів двоокису вуглецю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30-08-2021</w:t>
            </w:r>
          </w:p>
        </w:tc>
        <w:tc>
          <w:tcPr>
            <w:vAlign w:val="center"/>
          </w:tcPr>
          <w:p>
            <w:pPr>
              <w:jc w:val="center"/>
            </w:pPr>
            <w:r>
              <w:rPr>
                <w:sz w:val="20"/>
                <w:szCs w:val="20"/>
              </w:rPr>
              <w:t xml:space="preserve">Мінекоенерго</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D57EFC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2" TargetMode="External"/><Relationship Id="rId9" Type="http://schemas.openxmlformats.org/officeDocument/2006/relationships/hyperlink" Target="_ftnref1" TargetMode="External"/><Relationship Id="rId10" Type="http://schemas.openxmlformats.org/officeDocument/2006/relationships/hyperlink" Target="_ftnref2" TargetMode="External"/><Relationship Id="rId11" Type="http://schemas.openxmlformats.org/officeDocument/2006/relationships/hyperlink" Target="https://yearbook.enerdata.net/total-energy/world-energy-intensity-gdp-data.html" TargetMode="External"/><Relationship Id="rId12" Type="http://schemas.openxmlformats.org/officeDocument/2006/relationships/hyperlink" Target="_ftn3" TargetMode="External"/><Relationship Id="rId13" Type="http://schemas.openxmlformats.org/officeDocument/2006/relationships/hyperlink" Target="_ftn4" TargetMode="External"/><Relationship Id="rId14" Type="http://schemas.openxmlformats.org/officeDocument/2006/relationships/hyperlink" Target="http://socis.kiev.ua/ua/2019-03/" TargetMode="External"/><Relationship Id="rId15" Type="http://schemas.openxmlformats.org/officeDocument/2006/relationships/hyperlink" Target="_ftnref3" TargetMode="External"/><Relationship Id="rId16" Type="http://schemas.openxmlformats.org/officeDocument/2006/relationships/hyperlink" Target="_ftnref4" TargetMode="External"/><Relationship Id="rId17" Type="http://schemas.openxmlformats.org/officeDocument/2006/relationships/hyperlink" Target="http://www3.weforum.org/docs/WEF_TheGlobalCompetitivenessRepor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2020-02-10T10:29:51+02:00</dcterms:created>
  <dcterms:modified xsi:type="dcterms:W3CDTF">2020-02-10T10:29:51+02:00</dcterms:modified>
</cp:coreProperties>
</file>

<file path=docProps/custom.xml><?xml version="1.0" encoding="utf-8"?>
<Properties xmlns="http://schemas.openxmlformats.org/officeDocument/2006/custom-properties" xmlns:vt="http://schemas.openxmlformats.org/officeDocument/2006/docPropsVTypes"/>
</file>