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9.2. «Українські споживачі та український бізнес сплачують справедливу ціну за якісні енергетичні товари»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Українські споживачі та український бізнес вважають, що вони сплачують несправедливі ціни за енергетичні товари невисокої якості</w:t>
      </w:r>
    </w:p>
    <w:p>
      <w:pPr/>
      <w:r>
        <w:rPr>
          <w:b w:val="1"/>
          <w:bCs w:val="1"/>
        </w:rPr>
        <w:t xml:space="preserve">1.2. Носій проблеми </w:t>
      </w:r>
    </w:p>
    <w:p>
      <w:pPr/>
      <w:r>
        <w:rPr/>
        <w:t xml:space="preserve">Український споживач та український бізнес</w:t>
      </w:r>
    </w:p>
    <w:p>
      <w:pPr/>
      <w:r>
        <w:rPr>
          <w:b w:val="1"/>
          <w:bCs w:val="1"/>
        </w:rPr>
        <w:t xml:space="preserve">1.3. Масштаб проблеми: Загальнонаціональна</w:t>
      </w:r>
    </w:p>
    <w:p>
      <w:pPr/>
      <w:r>
        <w:rPr/>
        <w:t xml:space="preserve">Загальнонаціональна проблема, що має вплив через ціну на енергоресурси на всі сектори економіки та населення. За даними НКРЕКП, налічується приблизно 12,3 млн. домогосподарств та 70 тис. непобутових споживачів природного газу, а також 14,7 млн. домогосподарств та 420 тис. непобутових споживачів електроенергії</w:t>
      </w:r>
    </w:p>
    <w:p>
      <w:pPr/>
      <w:r>
        <w:rPr>
          <w:b w:val="1"/>
          <w:bCs w:val="1"/>
        </w:rPr>
        <w:t xml:space="preserve">1.4. Гострота проблеми: Гостра</w:t>
      </w:r>
    </w:p>
    <w:p>
      <w:pPr/>
      <w:r>
        <w:rPr/>
        <w:t xml:space="preserve">Гостра проблема, яка потребує пріоритетного вирішення. Внаслідок завищених цін на енергоресурси для бізнесу споживачі природного газу переплачують орієнтовно 10 млрд грн щорічно. За опитуваннями  «Соціс» проблема високих цін на енергоресурси займає друге або третє місце серед усіх проблем населення та хвилює більше половини (55%) населення в країні</w:t>
      </w:r>
    </w:p>
    <w:p>
      <w:pPr/>
      <w:r>
        <w:rPr>
          <w:b w:val="1"/>
          <w:bCs w:val="1"/>
        </w:rPr>
        <w:t xml:space="preserve">1.5. Динаміка проблеми:  Негативна</w:t>
      </w:r>
    </w:p>
    <w:p>
      <w:pPr/>
      <w:r>
        <w:rPr/>
        <w:t xml:space="preserve">Ціни на енергоресурси для українських споживачів та українського бізнесу стрімко зростають, при цьому рівень сервісу та якість енергетичних товарів залишається без змін або погіршується. Так середнє значення тарифу на електроенергію для побутових споживачів зросло у 3,2 рази з 2015-го до 2019-го року, середнє значення тарифу для промислових споживачів зросло у 1,8 рази. Внаслідок цього кількість населення, що споживає електроенергію зменшилося на 4%, а кількість непобутових споживачів на 15% лише за 2018 рік.  По природному газу кількість побутових споживачів зменшилася на 8%, а непобутових на 17% за цей рік</w:t>
      </w:r>
    </w:p>
    <w:p>
      <w:pPr/>
      <w:r>
        <w:rPr>
          <w:b w:val="1"/>
          <w:bCs w:val="1"/>
        </w:rPr>
        <w:t xml:space="preserve">1.6. Причини проблеми</w:t>
      </w:r>
    </w:p>
    <w:p>
      <w:pPr/>
      <w:r>
        <w:rPr/>
        <w:t xml:space="preserve">Причина 1 - Монопольне становище на більшості енергетичних ринків, що стримує ринкові важелі для зниження цін на енергетичні товари</w:t>
      </w:r>
    </w:p>
    <w:p>
      <w:pPr/>
      <w:r>
        <w:rPr/>
        <w:t xml:space="preserve">Причина 2 - Відсутність інвестицій у модернізацію енергетичного сектору, що зумовлює високу собівартість виробництва одиниці енергетичних товарів та послуг</w:t>
      </w:r>
    </w:p>
    <w:p>
      <w:pPr/>
      <w:r>
        <w:rPr/>
        <w:t xml:space="preserve">Причина 3 - Низька частка відновлюваної енергетики, яка стає дешевшою ніж традиційна в багатьох країнах світу</w:t>
      </w:r>
    </w:p>
    <w:p>
      <w:pPr/>
      <w:r>
        <w:rPr/>
        <w:t xml:space="preserve">Причина 4 - Низький рівень енергоефективності виробництва теплової енергії на ТЕЦ та котельнях, а також кінцевого енергоспоживання в будівлях, що разом становлять значну частину витрат домогосподарств на енергоресурси</w:t>
      </w:r>
    </w:p>
    <w:p>
      <w:pPr/>
      <w:r>
        <w:rPr/>
        <w:t xml:space="preserve">Причина 5 - Неефективна господарська діяльність державних підприємств, що досі відіграють значну роль в енергетичному секторі</w:t>
      </w:r>
    </w:p>
    <w:p>
      <w:pPr/>
      <w:r>
        <w:rPr>
          <w:b w:val="1"/>
          <w:bCs w:val="1"/>
        </w:rPr>
        <w:t xml:space="preserve">1.7. Показники ефективності політики</w:t>
      </w:r>
    </w:p>
    <w:p>
      <w:pPr>
        <w:numPr>
          <w:ilvl w:val="0"/>
          <w:numId w:val="1"/>
        </w:numPr>
      </w:pPr>
      <w:r>
        <w:rPr/>
        <w:t xml:space="preserve">Зниження ціни енергетичних товарів до їх справедливої та прозоро сформованої вартості</w:t>
      </w:r>
    </w:p>
    <w:p>
      <w:pPr>
        <w:numPr>
          <w:ilvl w:val="0"/>
          <w:numId w:val="1"/>
        </w:numPr>
      </w:pPr>
      <w:r>
        <w:rPr/>
        <w:t xml:space="preserve">Зменшення кількості домогосподарств, що перебувають за межею енергетичної бідності</w:t>
      </w:r>
    </w:p>
    <w:p>
      <w:pPr>
        <w:numPr>
          <w:ilvl w:val="0"/>
          <w:numId w:val="1"/>
        </w:numPr>
      </w:pPr>
      <w:r>
        <w:rPr/>
        <w:t xml:space="preserve">Зменшення питомої частки вартості енергетичних послуг і товарів у щомісячних витратах домогосподарств</w:t>
      </w:r>
    </w:p>
    <w:p>
      <w:pPr>
        <w:numPr>
          <w:ilvl w:val="0"/>
          <w:numId w:val="1"/>
        </w:numPr>
      </w:pPr>
      <w:r>
        <w:rPr/>
        <w:t xml:space="preserve">Збільшення частки біржової торгівлі енергоресурсами до 2025 року до 50%</w:t>
      </w:r>
    </w:p>
    <w:p>
      <w:pPr>
        <w:numPr>
          <w:ilvl w:val="0"/>
          <w:numId w:val="1"/>
        </w:numPr>
      </w:pPr>
      <w:r>
        <w:rPr/>
        <w:t xml:space="preserve">Збільшення частки виробництва економічно пріоритетних джерел енергії</w:t>
      </w:r>
    </w:p>
    <w:p>
      <w:pPr>
        <w:numPr>
          <w:ilvl w:val="0"/>
          <w:numId w:val="1"/>
        </w:numPr>
      </w:pPr>
      <w:r>
        <w:rPr/>
        <w:t xml:space="preserve">Оцінка необхідності і початок процесу планового відновлення енергетичних мереж</w:t>
      </w:r>
    </w:p>
    <w:p>
      <w:pPr>
        <w:numPr>
          <w:ilvl w:val="0"/>
          <w:numId w:val="1"/>
        </w:numPr>
      </w:pPr>
      <w:r>
        <w:rPr/>
        <w:t xml:space="preserve">Запровадження прозорих принципів корпоративного управління на державних підприємствах паливно-енергетичного сектору</w:t>
      </w:r>
    </w:p>
    <w:p>
      <w:pPr/>
      <w:r>
        <w:rPr>
          <w:b w:val="1"/>
          <w:bCs w:val="1"/>
        </w:rPr>
        <w:t xml:space="preserve">1.8. Опис чинної державної політики щодо вирішення проблеми / її причин.</w:t>
      </w:r>
    </w:p>
    <w:p>
      <w:pPr/>
      <w:r>
        <w:rPr/>
        <w:t xml:space="preserve">Модель єдиного покупця електроенергії, що існувала до 01.07.2019 року, створила систему перехресного субсидіювання, коли промисловість платила за населення, що призвело до значного накопичення боргів. Так, загальний обсяг таких боргів тільки за 2018 рік склав близько 47 млрд грн. Модель єдиного покупця не стимулювала учасників ринку електричної енергії до конкуренції та, відповідно, до формування справедливих цін для споживачів, покращення рівня сервісу та якості енергетичних товарів. Після запровадження нової конкурентної моделі ринку у липні 2019 року вже спостерігається зменшення ціни електричної енергії, але рівень монополізації ринків та значне регуляторне втручання держави залишається значним</w:t>
      </w:r>
    </w:p>
    <w:p>
      <w:pPr/>
      <w:r>
        <w:rPr>
          <w:b w:val="1"/>
          <w:bCs w:val="1"/>
        </w:rPr>
        <w:t xml:space="preserve">2.	ПРОПОНОВАНИЙ КУРС ПОЛІТИКИ</w:t>
      </w:r>
    </w:p>
    <w:p>
      <w:pPr/>
      <w:r>
        <w:rPr>
          <w:b w:val="1"/>
          <w:bCs w:val="1"/>
        </w:rPr>
        <w:t xml:space="preserve">2.1. Підціль 1 “Збільшення конкуренції на енергетичних ринках”</w:t>
      </w:r>
    </w:p>
    <w:p>
      <w:pPr/>
      <w:r>
        <w:rPr>
          <w:b w:val="1"/>
          <w:bCs w:val="1"/>
        </w:rPr>
        <w:t xml:space="preserve">Показники результативності: </w:t>
      </w:r>
    </w:p>
    <w:p>
      <w:pPr>
        <w:numPr>
          <w:ilvl w:val="0"/>
          <w:numId w:val="1"/>
        </w:numPr>
      </w:pPr>
      <w:r>
        <w:rPr/>
        <w:t xml:space="preserve">Створення повноцінно функціонуючого ринку електроенергії та збільшення частки біржової торгівлі природним газом до 50% до 2025 року</w:t>
      </w:r>
    </w:p>
    <w:p>
      <w:pPr/>
      <w:r>
        <w:rPr>
          <w:b w:val="1"/>
          <w:bCs w:val="1"/>
        </w:rPr>
        <w:t xml:space="preserve">Завдання до підцілі 1: </w:t>
      </w:r>
    </w:p>
    <w:p>
      <w:pPr>
        <w:numPr>
          <w:ilvl w:val="0"/>
          <w:numId w:val="1"/>
        </w:numPr>
      </w:pPr>
      <w:r>
        <w:rPr/>
        <w:t xml:space="preserve">Завершення реформування енергетичних ринків (електричної енергії та природного газу)</w:t>
      </w:r>
    </w:p>
    <w:p>
      <w:pPr>
        <w:numPr>
          <w:ilvl w:val="0"/>
          <w:numId w:val="1"/>
        </w:numPr>
      </w:pPr>
      <w:r>
        <w:rPr/>
        <w:t xml:space="preserve">Збільшення частки біржової торгівлі природним газом</w:t>
      </w:r>
    </w:p>
    <w:p>
      <w:pPr>
        <w:numPr>
          <w:ilvl w:val="0"/>
          <w:numId w:val="1"/>
        </w:numPr>
      </w:pPr>
      <w:r>
        <w:rPr/>
        <w:t xml:space="preserve">Інтеграція ринків електроенергії та природного газу до європейських ринків через приєднання до ENTSO-E та ENTSOG</w:t>
      </w:r>
    </w:p>
    <w:p>
      <w:pPr/>
      <w:r>
        <w:rPr>
          <w:b w:val="1"/>
          <w:bCs w:val="1"/>
        </w:rPr>
        <w:t xml:space="preserve">2.2. Підціль 2 “Покращення інвестиційної привабливості енергетичного сектора та збільшення інвестицій”</w:t>
      </w:r>
    </w:p>
    <w:p>
      <w:pPr/>
      <w:r>
        <w:rPr>
          <w:b w:val="1"/>
          <w:bCs w:val="1"/>
        </w:rPr>
        <w:t xml:space="preserve">Показники результативності: </w:t>
      </w:r>
    </w:p>
    <w:p>
      <w:pPr>
        <w:numPr>
          <w:ilvl w:val="0"/>
          <w:numId w:val="1"/>
        </w:numPr>
      </w:pPr>
      <w:r>
        <w:rPr/>
        <w:t xml:space="preserve">Збільшення обсягу інвестицій у вітчизняний видобуток енергоресурсів, модернізацію існуючих підприємств та будівництво нових генеруючих потужностей на 50% до 2022 року</w:t>
      </w:r>
    </w:p>
    <w:p>
      <w:pPr/>
      <w:r>
        <w:rPr>
          <w:b w:val="1"/>
          <w:bCs w:val="1"/>
        </w:rPr>
        <w:t xml:space="preserve">Завдання до підцілі 2: </w:t>
      </w:r>
    </w:p>
    <w:p>
      <w:pPr>
        <w:numPr>
          <w:ilvl w:val="0"/>
          <w:numId w:val="1"/>
        </w:numPr>
      </w:pPr>
      <w:r>
        <w:rPr/>
        <w:t xml:space="preserve">Створення сприятливих умов для залучення інвестицій у видобуток нафти та природного газу</w:t>
      </w:r>
    </w:p>
    <w:p>
      <w:pPr>
        <w:numPr>
          <w:ilvl w:val="0"/>
          <w:numId w:val="1"/>
        </w:numPr>
      </w:pPr>
      <w:r>
        <w:rPr/>
        <w:t xml:space="preserve">Впровадження RAB-методології тарифоутворення на монопольних ринках передачі енергоресурсів</w:t>
      </w:r>
    </w:p>
    <w:p>
      <w:pPr/>
      <w:r>
        <w:rPr>
          <w:b w:val="1"/>
          <w:bCs w:val="1"/>
        </w:rPr>
        <w:t xml:space="preserve">2.3. Підціль 3 “Збільшення частки електричної та теплової енергії виробленої з ВДЕ”</w:t>
      </w:r>
    </w:p>
    <w:p>
      <w:pPr/>
      <w:r>
        <w:rPr>
          <w:b w:val="1"/>
          <w:bCs w:val="1"/>
        </w:rPr>
        <w:t xml:space="preserve">Показники результативності: </w:t>
      </w:r>
    </w:p>
    <w:p>
      <w:pPr>
        <w:numPr>
          <w:ilvl w:val="0"/>
          <w:numId w:val="1"/>
        </w:numPr>
      </w:pPr>
      <w:r>
        <w:rPr/>
        <w:t xml:space="preserve">Частка ВДЕ у загальному первинному постачанні енергії становить збільшиться до 12% до 2025 року</w:t>
      </w:r>
    </w:p>
    <w:p>
      <w:pPr/>
      <w:r>
        <w:rPr>
          <w:b w:val="1"/>
          <w:bCs w:val="1"/>
        </w:rPr>
        <w:t xml:space="preserve">Завдання до підцілі 3: </w:t>
      </w:r>
    </w:p>
    <w:p>
      <w:pPr>
        <w:numPr>
          <w:ilvl w:val="0"/>
          <w:numId w:val="1"/>
        </w:numPr>
      </w:pPr>
      <w:r>
        <w:rPr/>
        <w:t xml:space="preserve">Усунення мережевих і балансових (системних) обмежень ОЕС України щодо інтеграції об’єктів відновлюваної енергетики</w:t>
      </w:r>
    </w:p>
    <w:p>
      <w:pPr>
        <w:numPr>
          <w:ilvl w:val="0"/>
          <w:numId w:val="1"/>
        </w:numPr>
      </w:pPr>
      <w:r>
        <w:rPr/>
        <w:t xml:space="preserve">Запровадження конкурентної моделі стимулювання виробництва електричної енергії, виробленої з відновлюваних джерел енергії (аукціони з розподілу квот підтримки)</w:t>
      </w:r>
    </w:p>
    <w:p>
      <w:pPr>
        <w:numPr>
          <w:ilvl w:val="0"/>
          <w:numId w:val="1"/>
        </w:numPr>
      </w:pPr>
      <w:r>
        <w:rPr/>
        <w:t xml:space="preserve">Розробка механізмів стимулювання виробництва теплової енергії з відновлюваних джерел на ТЕЦ і котельнях</w:t>
      </w:r>
    </w:p>
    <w:p>
      <w:pPr/>
      <w:r>
        <w:rPr>
          <w:b w:val="1"/>
          <w:bCs w:val="1"/>
        </w:rPr>
        <w:t xml:space="preserve">2.4. Підціль 4 “Збільшення ефективності виробництва, транспортування та розподілення теплової енергії, а також ефективності кінцевого енергоспоживання”</w:t>
      </w:r>
    </w:p>
    <w:p>
      <w:pPr/>
      <w:r>
        <w:rPr>
          <w:b w:val="1"/>
          <w:bCs w:val="1"/>
        </w:rPr>
        <w:t xml:space="preserve">Показники результативності: </w:t>
      </w:r>
    </w:p>
    <w:p>
      <w:pPr>
        <w:numPr>
          <w:ilvl w:val="0"/>
          <w:numId w:val="1"/>
        </w:numPr>
      </w:pPr>
      <w:r>
        <w:rPr/>
        <w:t xml:space="preserve">Зменшення питомих витрат палив на виробництво тепла на 10% до 2025 року</w:t>
      </w:r>
    </w:p>
    <w:p>
      <w:pPr/>
      <w:r>
        <w:rPr>
          <w:b w:val="1"/>
          <w:bCs w:val="1"/>
        </w:rPr>
        <w:t xml:space="preserve">Завдання до підцілі 4: </w:t>
      </w:r>
    </w:p>
    <w:p>
      <w:pPr>
        <w:numPr>
          <w:ilvl w:val="0"/>
          <w:numId w:val="1"/>
        </w:numPr>
      </w:pPr>
      <w:r>
        <w:rPr/>
        <w:t xml:space="preserve">Запровадження ринкових відносин у секторі комунальної енергетики та ТЕЦ</w:t>
      </w:r>
    </w:p>
    <w:p>
      <w:pPr>
        <w:numPr>
          <w:ilvl w:val="0"/>
          <w:numId w:val="1"/>
        </w:numPr>
      </w:pPr>
      <w:r>
        <w:rPr/>
        <w:t xml:space="preserve">Запровадження стимулюючих механізмів для домогосподарств щодо інвестування в енергоефективність будівель</w:t>
      </w:r>
    </w:p>
    <w:p>
      <w:pPr/>
      <w:r>
        <w:rPr>
          <w:b w:val="1"/>
          <w:bCs w:val="1"/>
        </w:rPr>
        <w:t xml:space="preserve">2.5. Підціль 5 “Запровадження прозорих принципів корпоративного управління на підприємствах ПЕК”</w:t>
      </w:r>
    </w:p>
    <w:p>
      <w:pPr/>
      <w:r>
        <w:rPr>
          <w:b w:val="1"/>
          <w:bCs w:val="1"/>
        </w:rPr>
        <w:t xml:space="preserve">Показники результативності: </w:t>
      </w:r>
    </w:p>
    <w:p>
      <w:pPr>
        <w:numPr>
          <w:ilvl w:val="0"/>
          <w:numId w:val="1"/>
        </w:numPr>
      </w:pPr>
      <w:r>
        <w:rPr/>
        <w:t xml:space="preserve">Наявність політик власності для особливо важливих державних підприємств та функціонуючих рад директорів до кінця 2021 року (5 підприємств)</w:t>
      </w:r>
    </w:p>
    <w:p>
      <w:pPr/>
      <w:r>
        <w:rPr>
          <w:b w:val="1"/>
          <w:bCs w:val="1"/>
        </w:rPr>
        <w:t xml:space="preserve">Завдання до підцілі 5: </w:t>
      </w:r>
    </w:p>
    <w:p>
      <w:pPr>
        <w:numPr>
          <w:ilvl w:val="0"/>
          <w:numId w:val="1"/>
        </w:numPr>
      </w:pPr>
      <w:r>
        <w:rPr/>
        <w:t xml:space="preserve">Оновлення стратегій розвитку державних підприємств ПЕК та відповідних політик власності</w:t>
      </w:r>
    </w:p>
    <w:p>
      <w:pPr>
        <w:numPr>
          <w:ilvl w:val="0"/>
          <w:numId w:val="1"/>
        </w:numPr>
      </w:pPr>
      <w:r>
        <w:rPr/>
        <w:t xml:space="preserve">Перетворення Державного підприємства «НАЕК «Енергоатом» в акціонерне товариство</w:t>
      </w:r>
    </w:p>
    <w:p>
      <w:pPr>
        <w:numPr>
          <w:ilvl w:val="0"/>
          <w:numId w:val="1"/>
        </w:numPr>
      </w:pPr>
      <w:r>
        <w:rPr/>
        <w:t xml:space="preserve">Утворення наглядової ради на ДП «НАЕК» Енергоатом»</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Збільшення конкуренції на енергетичних ринках</w:t>
            </w:r>
          </w:p>
        </w:tc>
        <w:tc>
          <w:tcPr>
            <w:vAlign w:val="center"/>
            <w:vMerge w:val="restart"/>
          </w:tcPr>
          <w:p>
            <w:pPr>
              <w:jc w:val="center"/>
            </w:pPr>
            <w:r>
              <w:rPr>
                <w:sz w:val="20"/>
                <w:szCs w:val="20"/>
              </w:rPr>
              <w:t xml:space="preserve">Завершення реформування енергетичних ринків (електричної енергії та природного газу)</w:t>
            </w:r>
          </w:p>
        </w:tc>
        <w:tc>
          <w:tcPr>
            <w:vAlign w:val="center"/>
          </w:tcPr>
          <w:p>
            <w:pPr>
              <w:jc w:val="center"/>
            </w:pPr>
            <w:r>
              <w:rPr>
                <w:sz w:val="20"/>
                <w:szCs w:val="20"/>
              </w:rPr>
              <w:t xml:space="preserve">1. Розроблення та подання на розгляд Кабінету Міністрів України Концепції зеленого енергетичного переходу України до 2050 року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Підготовка та схвалення Інтегрованого плану з боротьби зі зміною клімату та розвитку енергетики до 2030 року та національно визначеного внеску до Паризької угоди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3. Проведення серії публічних консультацій та обговорення Концепції та Інтегрованого плану; комунікаційна компанія</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4. Непродовження дії системи ПСО на ринку природному газу після 01.05.2020</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01-05-2020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5. Розроблення нормативно-правової бази для запровадження роздрібного ринку природного газу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Збільшення частки біржової торгівлі природним газом</w:t>
            </w:r>
          </w:p>
        </w:tc>
        <w:tc>
          <w:tcPr>
            <w:vAlign w:val="center"/>
          </w:tcPr>
          <w:p>
            <w:pPr>
              <w:jc w:val="center"/>
            </w:pPr>
            <w:r>
              <w:rPr>
                <w:sz w:val="20"/>
                <w:szCs w:val="20"/>
              </w:rPr>
              <w:t xml:space="preserve">1. Розроблення та подання на розгляд Кабінету Міністрів України проектів Законів України «Про запровадження на ринку природного газу обліку та розрахунків за обсягом газу в одиницях енергії» для переходу ринку природного газу України на розрахунки та балансування в енергетичних одиницях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Формування нормативно-правової бази для збільшення частки біржової торгівлі природним газом</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Мінекономіки</w:t>
            </w:r>
          </w:p>
        </w:tc>
      </w:tr>
      <w:tr>
        <w:trPr/>
        <w:tc>
          <w:tcPr>
            <w:vMerge w:val="continue"/>
          </w:tcPr>
          <w:p/>
        </w:tc>
        <w:tc>
          <w:tcPr>
            <w:vAlign w:val="center"/>
            <w:vMerge w:val="restart"/>
          </w:tcPr>
          <w:p>
            <w:pPr>
              <w:jc w:val="center"/>
            </w:pPr>
            <w:r>
              <w:rPr>
                <w:sz w:val="20"/>
                <w:szCs w:val="20"/>
              </w:rPr>
              <w:t xml:space="preserve">Інтеграція ринків електроенергії та природного газу до європейських ринків через приєднання до ENTSO-E та ENTSOG</w:t>
            </w:r>
          </w:p>
        </w:tc>
        <w:tc>
          <w:tcPr>
            <w:vAlign w:val="center"/>
          </w:tcPr>
          <w:p>
            <w:pPr>
              <w:jc w:val="center"/>
            </w:pPr>
            <w:r>
              <w:rPr>
                <w:sz w:val="20"/>
                <w:szCs w:val="20"/>
              </w:rPr>
              <w:t xml:space="preserve">1. Створення спільного блоку регулювання ОЕС України і енергосистеми Молдови та проведення досліджень ОЕС України</w:t>
            </w:r>
          </w:p>
        </w:tc>
        <w:tc>
          <w:tcPr>
            <w:tcW w:w="1500" w:type="dxa"/>
            <w:vAlign w:val="center"/>
          </w:tcPr>
          <w:p>
            <w:pPr>
              <w:jc w:val="center"/>
            </w:pPr>
            <w:r>
              <w:rPr>
                <w:sz w:val="20"/>
                <w:szCs w:val="20"/>
              </w:rPr>
              <w:t xml:space="preserve">28-09-2019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Заходи щодо забезпечення готовності електростанцій до роботи в складі ENTSO-E</w:t>
            </w:r>
          </w:p>
        </w:tc>
        <w:tc>
          <w:tcPr>
            <w:tcW w:w="1500" w:type="dxa"/>
            <w:vAlign w:val="center"/>
          </w:tcPr>
          <w:p>
            <w:pPr>
              <w:jc w:val="center"/>
            </w:pPr>
            <w:r>
              <w:rPr>
                <w:sz w:val="20"/>
                <w:szCs w:val="20"/>
              </w:rPr>
              <w:t xml:space="preserve">01-01-2018</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3. Завершення  синхронізації ОЕС України до мережі системних операторів передачі електричної енергії Європейської мережі</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Мінекоенерго</w:t>
            </w:r>
          </w:p>
        </w:tc>
      </w:tr>
      <w:tr>
        <w:trPr/>
        <w:tc>
          <w:tcPr>
            <w:vAlign w:val="center"/>
            <w:vMerge w:val="restart"/>
          </w:tcPr>
          <w:p>
            <w:pPr>
              <w:jc w:val="center"/>
            </w:pPr>
            <w:r>
              <w:rPr>
                <w:sz w:val="20"/>
                <w:szCs w:val="20"/>
              </w:rPr>
              <w:t xml:space="preserve">Покращення інвестиційної привабливості енергетичного сектора та збільшення інвестицій</w:t>
            </w:r>
          </w:p>
        </w:tc>
        <w:tc>
          <w:tcPr>
            <w:vAlign w:val="center"/>
            <w:vMerge w:val="restart"/>
          </w:tcPr>
          <w:p>
            <w:pPr>
              <w:jc w:val="center"/>
            </w:pPr>
            <w:r>
              <w:rPr>
                <w:sz w:val="20"/>
                <w:szCs w:val="20"/>
              </w:rPr>
              <w:t xml:space="preserve">Створення сприятливих умов для залучення інвестицій у видобуток нафти та природного газу</w:t>
            </w:r>
          </w:p>
        </w:tc>
        <w:tc>
          <w:tcPr>
            <w:vAlign w:val="center"/>
          </w:tcPr>
          <w:p>
            <w:pPr>
              <w:jc w:val="center"/>
            </w:pPr>
            <w:r>
              <w:rPr>
                <w:sz w:val="20"/>
                <w:szCs w:val="20"/>
              </w:rPr>
              <w:t xml:space="preserve">1. Розробка та подання на розгляд Кабінету Міністрів України законопроектів спрямованих на створення умов для збільшення видобутку природного газу і нафти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Мінфін;
Мінекономіки;
Мінекоенерго;
ДПС
</w:t>
            </w:r>
          </w:p>
        </w:tc>
      </w:tr>
      <w:tr>
        <w:trPr/>
        <w:tc>
          <w:tcPr>
            <w:vMerge w:val="continue"/>
          </w:tcPr>
          <w:p/>
        </w:tc>
        <w:tc>
          <w:tcPr>
            <w:vMerge w:val="continue"/>
          </w:tcPr>
          <w:p/>
        </w:tc>
        <w:tc>
          <w:tcPr>
            <w:vAlign w:val="center"/>
          </w:tcPr>
          <w:p>
            <w:pPr>
              <w:jc w:val="center"/>
            </w:pPr>
            <w:r>
              <w:rPr>
                <w:sz w:val="20"/>
                <w:szCs w:val="20"/>
              </w:rPr>
              <w:t xml:space="preserve">2. Опрацювання та підписання дев’яти Угод про розподіл продукції з вітчизняними та іноземними інвесторами у нафтогазовий сектор, проведення додаткових конкурсів УРП</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3. Проведення регулярних електронних аукціонів з продажу спецдозволів на користування нафтогазоносними надрами в кількості не менше 50 спецдозволів на рік</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Держгеонадра;
Мінекоенерго</w:t>
            </w:r>
          </w:p>
        </w:tc>
      </w:tr>
      <w:tr>
        <w:trPr/>
        <w:tc>
          <w:tcPr>
            <w:vMerge w:val="continue"/>
          </w:tcPr>
          <w:p/>
        </w:tc>
        <w:tc>
          <w:tcPr>
            <w:vMerge w:val="continue"/>
          </w:tcPr>
          <w:p/>
        </w:tc>
        <w:tc>
          <w:tcPr>
            <w:vAlign w:val="center"/>
          </w:tcPr>
          <w:p>
            <w:pPr>
              <w:jc w:val="center"/>
            </w:pPr>
            <w:r>
              <w:rPr>
                <w:sz w:val="20"/>
                <w:szCs w:val="20"/>
              </w:rPr>
              <w:t xml:space="preserve">4. Залучення інвесторів до видобутку вуглеводнів на континентальному шельфі та виключній (морській) економічній зоні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Держгеонадра;
Мінекоенерго</w:t>
            </w:r>
          </w:p>
        </w:tc>
      </w:tr>
      <w:tr>
        <w:trPr/>
        <w:tc>
          <w:tcPr>
            <w:vMerge w:val="continue"/>
          </w:tcPr>
          <w:p/>
        </w:tc>
        <w:tc>
          <w:tcPr>
            <w:vMerge w:val="continue"/>
          </w:tcPr>
          <w:p/>
        </w:tc>
        <w:tc>
          <w:tcPr>
            <w:vAlign w:val="center"/>
          </w:tcPr>
          <w:p>
            <w:pPr>
              <w:jc w:val="center"/>
            </w:pPr>
            <w:r>
              <w:rPr>
                <w:sz w:val="20"/>
                <w:szCs w:val="20"/>
              </w:rPr>
              <w:t xml:space="preserve">5. Забезпечення доступу до геологічної інформації  про надра шляхом створення онлайн-платформи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Мінфін;
Держгеонадра;
Мінцифри
</w:t>
            </w:r>
          </w:p>
        </w:tc>
      </w:tr>
      <w:tr>
        <w:trPr/>
        <w:tc>
          <w:tcPr>
            <w:vMerge w:val="continue"/>
          </w:tcPr>
          <w:p/>
        </w:tc>
        <w:tc>
          <w:tcPr>
            <w:vAlign w:val="center"/>
            <w:vMerge w:val="restart"/>
          </w:tcPr>
          <w:p>
            <w:pPr>
              <w:jc w:val="center"/>
            </w:pPr>
            <w:r>
              <w:rPr>
                <w:sz w:val="20"/>
                <w:szCs w:val="20"/>
              </w:rPr>
              <w:t xml:space="preserve">Впровадження RAB-методології тарифоутворення на монопольних ринках передачі енергоресурсів</w:t>
            </w:r>
          </w:p>
        </w:tc>
        <w:tc>
          <w:tcPr>
            <w:vAlign w:val="center"/>
          </w:tcPr>
          <w:p>
            <w:pPr>
              <w:jc w:val="center"/>
            </w:pPr>
            <w:r>
              <w:rPr>
                <w:sz w:val="20"/>
                <w:szCs w:val="20"/>
              </w:rPr>
              <w:t xml:space="preserve">1. Розрахунок впливу впровадження RAB-методології тарифоутворення на тарифну політику відносно пересічного споживача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НКРЕКП;
Мінекоенерго;
оператори системи розподілу; оператор системи передачі</w:t>
            </w:r>
          </w:p>
        </w:tc>
      </w:tr>
      <w:tr>
        <w:trPr/>
        <w:tc>
          <w:tcPr>
            <w:vMerge w:val="continue"/>
          </w:tcPr>
          <w:p/>
        </w:tc>
        <w:tc>
          <w:tcPr>
            <w:vMerge w:val="continue"/>
          </w:tcPr>
          <w:p/>
        </w:tc>
        <w:tc>
          <w:tcPr>
            <w:vAlign w:val="center"/>
          </w:tcPr>
          <w:p>
            <w:pPr>
              <w:jc w:val="center"/>
            </w:pPr>
            <w:r>
              <w:rPr>
                <w:sz w:val="20"/>
                <w:szCs w:val="20"/>
              </w:rPr>
              <w:t xml:space="preserve">2. Забезпечення оптимізації нормативно-правової бази для переведення ліцензіатів з розподілу електричної енергії на стимулююче тарифоутворення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НКРЕКП;
Мінекоенерго;
оператори системи розподілу; оператор системи передачі</w:t>
            </w:r>
          </w:p>
        </w:tc>
      </w:tr>
      <w:tr>
        <w:trPr/>
        <w:tc>
          <w:tcPr>
            <w:vMerge w:val="continue"/>
          </w:tcPr>
          <w:p/>
        </w:tc>
        <w:tc>
          <w:tcPr>
            <w:vMerge w:val="continue"/>
          </w:tcPr>
          <w:p/>
        </w:tc>
        <w:tc>
          <w:tcPr>
            <w:vAlign w:val="center"/>
          </w:tcPr>
          <w:p>
            <w:pPr>
              <w:jc w:val="center"/>
            </w:pPr>
            <w:r>
              <w:rPr>
                <w:sz w:val="20"/>
                <w:szCs w:val="20"/>
              </w:rPr>
              <w:t xml:space="preserve">3. Здійснення заходів із забезпечення передумов для створення позитивного бачення про вигоди впровадження RAB-методології тарифоутворення шляхом інформування населення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НКРЕКП;
Мінекоенерго;
оператори системи розподілу; оператор системи передачі</w:t>
            </w:r>
          </w:p>
        </w:tc>
      </w:tr>
      <w:tr>
        <w:trPr/>
        <w:tc>
          <w:tcPr>
            <w:vAlign w:val="center"/>
            <w:vMerge w:val="restart"/>
          </w:tcPr>
          <w:p>
            <w:pPr>
              <w:jc w:val="center"/>
            </w:pPr>
            <w:r>
              <w:rPr>
                <w:sz w:val="20"/>
                <w:szCs w:val="20"/>
              </w:rPr>
              <w:t xml:space="preserve">Збільшення частки електричної та теплової енергії виробленої з ВДЕ</w:t>
            </w:r>
          </w:p>
        </w:tc>
        <w:tc>
          <w:tcPr>
            <w:vAlign w:val="center"/>
            <w:vMerge w:val="restart"/>
          </w:tcPr>
          <w:p>
            <w:pPr>
              <w:jc w:val="center"/>
            </w:pPr>
            <w:r>
              <w:rPr>
                <w:sz w:val="20"/>
                <w:szCs w:val="20"/>
              </w:rPr>
              <w:t xml:space="preserve">Усунення мережевих і балансових (системних) обмежень ОЕС України щодо інтеграції об’єктів відновлюваної енергетики</w:t>
            </w:r>
          </w:p>
        </w:tc>
        <w:tc>
          <w:tcPr>
            <w:vAlign w:val="center"/>
          </w:tcPr>
          <w:p>
            <w:pPr>
              <w:jc w:val="center"/>
            </w:pPr>
            <w:r>
              <w:rPr>
                <w:sz w:val="20"/>
                <w:szCs w:val="20"/>
              </w:rPr>
              <w:t xml:space="preserve">1. Прийняття Закону України щодо запровадження стимулюючих механізмів встановлення на електростанціях потужностей для акумуляції електричної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НЕК «Укренерго»;
Енергогенеруючі компанії
</w:t>
            </w:r>
          </w:p>
        </w:tc>
      </w:tr>
      <w:tr>
        <w:trPr/>
        <w:tc>
          <w:tcPr>
            <w:vMerge w:val="continue"/>
          </w:tcPr>
          <w:p/>
        </w:tc>
        <w:tc>
          <w:tcPr>
            <w:vMerge w:val="continue"/>
          </w:tcPr>
          <w:p/>
        </w:tc>
        <w:tc>
          <w:tcPr>
            <w:vAlign w:val="center"/>
          </w:tcPr>
          <w:p>
            <w:pPr>
              <w:jc w:val="center"/>
            </w:pPr>
            <w:r>
              <w:rPr>
                <w:sz w:val="20"/>
                <w:szCs w:val="20"/>
              </w:rPr>
              <w:t xml:space="preserve">2. Внесення на розгляд Верховної Ради України законопроекту «Про внесення змін до Закону України «Про ринок електричної енергії» щодо посилення відповідальності за небаланс фактичних та прогнозних графіків виробництва електричної енергії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Запровадження конкурентної моделі стимулювання виробництва електричної енергії, виробленої з відновлюваних джерел енергії (аукціони з розподілу квот підтримки)</w:t>
            </w:r>
          </w:p>
        </w:tc>
        <w:tc>
          <w:tcPr>
            <w:vAlign w:val="center"/>
          </w:tcPr>
          <w:p>
            <w:pPr>
              <w:jc w:val="center"/>
            </w:pPr>
            <w:r>
              <w:rPr>
                <w:sz w:val="20"/>
                <w:szCs w:val="20"/>
              </w:rPr>
              <w:t xml:space="preserve">1. Подання на розгляд Кабінету Міністрів України проекту постанови «Про запровадження конкурентних умов стимулювання виробництва електричної енергії з альтернативних джерел енергії»</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31-01-2020</w:t>
            </w:r>
          </w:p>
        </w:tc>
        <w:tc>
          <w:tcPr>
            <w:vAlign w:val="center"/>
          </w:tcPr>
          <w:p>
            <w:pPr>
              <w:jc w:val="center"/>
            </w:pPr>
            <w:r>
              <w:rPr>
                <w:sz w:val="20"/>
                <w:szCs w:val="20"/>
              </w:rPr>
              <w:t xml:space="preserve">Мінекоенерго;
НЕК "Укренерго";
Держенергоефективності;
ДП "Гарантований покупець";
ДП "Прозорро.Продажі"</w:t>
            </w:r>
          </w:p>
        </w:tc>
      </w:tr>
      <w:tr>
        <w:trPr/>
        <w:tc>
          <w:tcPr>
            <w:vMerge w:val="continue"/>
          </w:tcPr>
          <w:p/>
        </w:tc>
        <w:tc>
          <w:tcPr>
            <w:vMerge w:val="continue"/>
          </w:tcPr>
          <w:p/>
        </w:tc>
        <w:tc>
          <w:tcPr>
            <w:vAlign w:val="center"/>
          </w:tcPr>
          <w:p>
            <w:pPr>
              <w:jc w:val="center"/>
            </w:pPr>
            <w:r>
              <w:rPr>
                <w:sz w:val="20"/>
                <w:szCs w:val="20"/>
              </w:rPr>
              <w:t xml:space="preserve">2. Подання на розгляд Кабінету Міністрів України проекту розпорядження «Про встановлення річних квот підтримки виробництва електричної енергії з альтернативних джерел енергії»</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
Держенергоефективності
</w:t>
            </w:r>
          </w:p>
        </w:tc>
      </w:tr>
      <w:tr>
        <w:trPr/>
        <w:tc>
          <w:tcPr>
            <w:vMerge w:val="continue"/>
          </w:tcPr>
          <w:p/>
        </w:tc>
        <w:tc>
          <w:tcPr>
            <w:vMerge w:val="continue"/>
          </w:tcPr>
          <w:p/>
        </w:tc>
        <w:tc>
          <w:tcPr>
            <w:vAlign w:val="center"/>
          </w:tcPr>
          <w:p>
            <w:pPr>
              <w:jc w:val="center"/>
            </w:pPr>
            <w:r>
              <w:rPr>
                <w:sz w:val="20"/>
                <w:szCs w:val="20"/>
              </w:rPr>
              <w:t xml:space="preserve">3. Затвердження наказу Мінекоенерго «Про затвердження Типового договору про проведення електронних аукціонів з розподілу квоти підтримки між замовником аукціону та оператором електронного майданчика»</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4. Забезпечення регулярного проведення аукціонів з розподілу квоти підтримки відповідно до Закону України «Про альтернативні джерела енергії»</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Мінекоенерго</w:t>
            </w:r>
          </w:p>
        </w:tc>
      </w:tr>
      <w:tr>
        <w:trPr/>
        <w:tc>
          <w:tcPr>
            <w:vMerge w:val="continue"/>
          </w:tcPr>
          <w:p/>
        </w:tc>
        <w:tc>
          <w:tcPr>
            <w:vAlign w:val="center"/>
            <w:vMerge w:val="restart"/>
          </w:tcPr>
          <w:p>
            <w:pPr>
              <w:jc w:val="center"/>
            </w:pPr>
            <w:r>
              <w:rPr>
                <w:sz w:val="20"/>
                <w:szCs w:val="20"/>
              </w:rPr>
              <w:t xml:space="preserve">Розробка механізмів стимулювання виробництва теплової енергії з відновлюваних джерел на ТЕЦ і котельнях</w:t>
            </w:r>
          </w:p>
        </w:tc>
        <w:tc>
          <w:tcPr>
            <w:vAlign w:val="center"/>
          </w:tcPr>
          <w:p>
            <w:pPr>
              <w:jc w:val="center"/>
            </w:pPr>
            <w:r>
              <w:rPr>
                <w:sz w:val="20"/>
                <w:szCs w:val="20"/>
              </w:rPr>
              <w:t xml:space="preserve">1. Створення прозорого та конкурентного ринку твердого біопалива (прийняття відповідного законопроекту)</w:t>
            </w:r>
          </w:p>
        </w:tc>
        <w:tc>
          <w:tcPr>
            <w:tcW w:w="1500" w:type="dxa"/>
            <w:vAlign w:val="center"/>
          </w:tcPr>
          <w:p>
            <w:pPr>
              <w:jc w:val="center"/>
            </w:pPr>
            <w:r>
              <w:rPr>
                <w:sz w:val="20"/>
                <w:szCs w:val="20"/>
              </w:rPr>
              <w:t xml:space="preserve">01-10-2019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Мінекоенерго; Держенергоефективності
</w:t>
            </w:r>
          </w:p>
        </w:tc>
      </w:tr>
      <w:tr>
        <w:trPr/>
        <w:tc>
          <w:tcPr>
            <w:vAlign w:val="center"/>
            <w:vMerge w:val="restart"/>
          </w:tcPr>
          <w:p>
            <w:pPr>
              <w:jc w:val="center"/>
            </w:pPr>
            <w:r>
              <w:rPr>
                <w:sz w:val="20"/>
                <w:szCs w:val="20"/>
              </w:rPr>
              <w:t xml:space="preserve">Збільшення ефективності виробництва, транспортування та розподілення теплової енергії, а також ефективності кінцевого енергоспоживання</w:t>
            </w:r>
          </w:p>
        </w:tc>
        <w:tc>
          <w:tcPr>
            <w:vAlign w:val="center"/>
            <w:vMerge w:val="restart"/>
          </w:tcPr>
          <w:p>
            <w:pPr>
              <w:jc w:val="center"/>
            </w:pPr>
            <w:r>
              <w:rPr>
                <w:sz w:val="20"/>
                <w:szCs w:val="20"/>
              </w:rPr>
              <w:t xml:space="preserve">Запровадження ринкових відносин у секторі комунальної енергетики та ТЕЦ</w:t>
            </w:r>
          </w:p>
        </w:tc>
        <w:tc>
          <w:tcPr>
            <w:vAlign w:val="center"/>
          </w:tcPr>
          <w:p>
            <w:pPr>
              <w:jc w:val="center"/>
            </w:pPr>
            <w:r>
              <w:rPr>
                <w:sz w:val="20"/>
                <w:szCs w:val="20"/>
              </w:rPr>
              <w:t xml:space="preserve">1. Запровадження ринкового механізму та сучасних інструментів регулювання ринку теплопостачання для забезпечення розвитку конкурентного середовища у сфері теплопостачання шляхом прийняття Закону України «Про внесення змін до деяких законів України щодо впровадження конкуренції в системах централізованого теплопостачання»</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Мінекоенерго; Мінрегіон;
Держенергоефективності</w:t>
            </w:r>
          </w:p>
        </w:tc>
      </w:tr>
      <w:tr>
        <w:trPr/>
        <w:tc>
          <w:tcPr>
            <w:vMerge w:val="continue"/>
          </w:tcPr>
          <w:p/>
        </w:tc>
        <w:tc>
          <w:tcPr>
            <w:vMerge w:val="continue"/>
          </w:tcPr>
          <w:p/>
        </w:tc>
        <w:tc>
          <w:tcPr>
            <w:vAlign w:val="center"/>
          </w:tcPr>
          <w:p>
            <w:pPr>
              <w:jc w:val="center"/>
            </w:pPr>
            <w:r>
              <w:rPr>
                <w:sz w:val="20"/>
                <w:szCs w:val="20"/>
              </w:rPr>
              <w:t xml:space="preserve">2. Прийняття рішення Урядом про надання або відмову у наданні тимчасової підтримки деяким виробникам, що здійснюють комбіноване виробництво електричної та теплової енергії на теплоелектроцентралях, для проведення їх реконструкції та/або модернізації</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01-07-2024</w:t>
            </w:r>
          </w:p>
        </w:tc>
        <w:tc>
          <w:tcPr>
            <w:vAlign w:val="center"/>
          </w:tcPr>
          <w:p>
            <w:pPr>
              <w:jc w:val="center"/>
            </w:pPr>
            <w:r>
              <w:rPr>
                <w:sz w:val="20"/>
                <w:szCs w:val="20"/>
              </w:rPr>
              <w:t xml:space="preserve">Кабінет Міністрів України; Мінекоенерго; НКРЕКП; НЕК «Укренерго»; Держенергонагляд</w:t>
            </w:r>
          </w:p>
        </w:tc>
      </w:tr>
      <w:tr>
        <w:trPr/>
        <w:tc>
          <w:tcPr>
            <w:vMerge w:val="continue"/>
          </w:tcPr>
          <w:p/>
        </w:tc>
        <w:tc>
          <w:tcPr>
            <w:vAlign w:val="center"/>
            <w:vMerge w:val="restart"/>
          </w:tcPr>
          <w:p>
            <w:pPr>
              <w:jc w:val="center"/>
            </w:pPr>
            <w:r>
              <w:rPr>
                <w:sz w:val="20"/>
                <w:szCs w:val="20"/>
              </w:rPr>
              <w:t xml:space="preserve">Запровадження стимулюючих механізмів для домогосподарств щодо інвестування в енергоефективність будівель</w:t>
            </w:r>
          </w:p>
        </w:tc>
        <w:tc>
          <w:tcPr>
            <w:vAlign w:val="center"/>
          </w:tcPr>
          <w:p>
            <w:pPr>
              <w:jc w:val="center"/>
            </w:pPr>
            <w:r>
              <w:rPr>
                <w:sz w:val="20"/>
                <w:szCs w:val="20"/>
              </w:rPr>
              <w:t xml:space="preserve">1. Забезпечення збільшення кількості будівель з близьким до нульового рівнем споживання енергії шляхом прийняття та реалізації відповідного Національного плану дій</w:t>
            </w:r>
          </w:p>
        </w:tc>
        <w:tc>
          <w:tcPr>
            <w:tcW w:w="1500" w:type="dxa"/>
            <w:vAlign w:val="center"/>
          </w:tcPr>
          <w:p>
            <w:pPr>
              <w:jc w:val="center"/>
            </w:pPr>
            <w:r>
              <w:rPr>
                <w:sz w:val="20"/>
                <w:szCs w:val="20"/>
              </w:rPr>
              <w:t xml:space="preserve">01-01-2019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Мінрегіон</w:t>
            </w:r>
          </w:p>
        </w:tc>
      </w:tr>
      <w:tr>
        <w:trPr/>
        <w:tc>
          <w:tcPr>
            <w:vMerge w:val="continue"/>
          </w:tcPr>
          <w:p/>
        </w:tc>
        <w:tc>
          <w:tcPr>
            <w:vMerge w:val="continue"/>
          </w:tcPr>
          <w:p/>
        </w:tc>
        <w:tc>
          <w:tcPr>
            <w:vAlign w:val="center"/>
          </w:tcPr>
          <w:p>
            <w:pPr>
              <w:jc w:val="center"/>
            </w:pPr>
            <w:r>
              <w:rPr>
                <w:sz w:val="20"/>
                <w:szCs w:val="20"/>
              </w:rPr>
              <w:t xml:space="preserve">2. Покращення роботи та процедур Фонду енергоефективності та Програми Теплих кредитів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Мінрегіон; Держенергоефективності; Мінекоенерго</w:t>
            </w:r>
          </w:p>
        </w:tc>
      </w:tr>
      <w:tr>
        <w:trPr/>
        <w:tc>
          <w:tcPr>
            <w:vMerge w:val="continue"/>
          </w:tcPr>
          <w:p/>
        </w:tc>
        <w:tc>
          <w:tcPr>
            <w:vMerge w:val="continue"/>
          </w:tcPr>
          <w:p/>
        </w:tc>
        <w:tc>
          <w:tcPr>
            <w:vAlign w:val="center"/>
          </w:tcPr>
          <w:p>
            <w:pPr>
              <w:jc w:val="center"/>
            </w:pPr>
            <w:r>
              <w:rPr>
                <w:sz w:val="20"/>
                <w:szCs w:val="20"/>
              </w:rPr>
              <w:t xml:space="preserve">3. Стимулювання залучення інвестицій у термомодернізацію житлового та нежитлового фонду шляхом схвалення та реалізації Довгострокової стратегії термореновації національного фонду житлових та нежитлових будівель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Мінрегіон;
Держенергоефективності;
Мінекоенерго
</w:t>
            </w:r>
          </w:p>
        </w:tc>
      </w:tr>
      <w:tr>
        <w:trPr/>
        <w:tc>
          <w:tcPr>
            <w:vAlign w:val="center"/>
            <w:vMerge w:val="restart"/>
          </w:tcPr>
          <w:p>
            <w:pPr>
              <w:jc w:val="center"/>
            </w:pPr>
            <w:r>
              <w:rPr>
                <w:sz w:val="20"/>
                <w:szCs w:val="20"/>
              </w:rPr>
              <w:t xml:space="preserve">Запровадження прозорих принципів корпоративного управління на підприємствах ПЕК</w:t>
            </w:r>
          </w:p>
        </w:tc>
        <w:tc>
          <w:tcPr>
            <w:vAlign w:val="center"/>
            <w:vMerge w:val="restart"/>
          </w:tcPr>
          <w:p>
            <w:pPr>
              <w:jc w:val="center"/>
            </w:pPr>
            <w:r>
              <w:rPr>
                <w:sz w:val="20"/>
                <w:szCs w:val="20"/>
              </w:rPr>
              <w:t xml:space="preserve">Оновлення стратегій розвитку державних підприємств ПЕК та відповідних політик власності</w:t>
            </w:r>
          </w:p>
        </w:tc>
        <w:tc>
          <w:tcPr>
            <w:vAlign w:val="center"/>
          </w:tcPr>
          <w:p>
            <w:pPr>
              <w:jc w:val="center"/>
            </w:pPr>
            <w:r>
              <w:rPr>
                <w:sz w:val="20"/>
                <w:szCs w:val="20"/>
              </w:rPr>
              <w:t xml:space="preserve">1. Формування показників ефективності роботи особливо важливих для економіки державних підприємствах ПЕК шляхом затвердження/ актуалізації політик власності</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31-05-2020</w:t>
            </w:r>
          </w:p>
        </w:tc>
        <w:tc>
          <w:tcPr>
            <w:vAlign w:val="center"/>
          </w:tcPr>
          <w:p>
            <w:pPr>
              <w:jc w:val="center"/>
            </w:pPr>
            <w:r>
              <w:rPr>
                <w:sz w:val="20"/>
                <w:szCs w:val="20"/>
              </w:rPr>
              <w:t xml:space="preserve">Мінекоенерго; 
Мінфін; КМУ
</w:t>
            </w:r>
          </w:p>
        </w:tc>
      </w:tr>
      <w:tr>
        <w:trPr/>
        <w:tc>
          <w:tcPr>
            <w:vMerge w:val="continue"/>
          </w:tcPr>
          <w:p/>
        </w:tc>
        <w:tc>
          <w:tcPr>
            <w:vAlign w:val="center"/>
            <w:vMerge w:val="restart"/>
          </w:tcPr>
          <w:p>
            <w:pPr>
              <w:jc w:val="center"/>
            </w:pPr>
            <w:r>
              <w:rPr>
                <w:sz w:val="20"/>
                <w:szCs w:val="20"/>
              </w:rPr>
              <w:t xml:space="preserve">Перетворення Державного підприємства «НАЕК «Енергоатом» в акціонерне товариство</w:t>
            </w:r>
          </w:p>
        </w:tc>
        <w:tc>
          <w:tcPr>
            <w:vAlign w:val="center"/>
          </w:tcPr>
          <w:p>
            <w:pPr>
              <w:jc w:val="center"/>
            </w:pPr>
            <w:r>
              <w:rPr>
                <w:sz w:val="20"/>
                <w:szCs w:val="20"/>
              </w:rPr>
              <w:t xml:space="preserve">1. Розроблення та прийняття відповідного проекту Закону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30-08-2020</w:t>
            </w:r>
          </w:p>
        </w:tc>
        <w:tc>
          <w:tcPr>
            <w:vAlign w:val="center"/>
          </w:tcPr>
          <w:p>
            <w:pPr>
              <w:jc w:val="center"/>
            </w:pPr>
            <w:r>
              <w:rPr>
                <w:sz w:val="20"/>
                <w:szCs w:val="20"/>
              </w:rPr>
              <w:t xml:space="preserve">Мінекоенерго; КМУ</w:t>
            </w:r>
          </w:p>
        </w:tc>
      </w:tr>
      <w:tr>
        <w:trPr/>
        <w:tc>
          <w:tcPr>
            <w:vMerge w:val="continue"/>
          </w:tcPr>
          <w:p/>
        </w:tc>
        <w:tc>
          <w:tcPr>
            <w:vMerge w:val="continue"/>
          </w:tcPr>
          <w:p/>
        </w:tc>
        <w:tc>
          <w:tcPr>
            <w:vAlign w:val="center"/>
          </w:tcPr>
          <w:p>
            <w:pPr>
              <w:jc w:val="center"/>
            </w:pPr>
            <w:r>
              <w:rPr>
                <w:sz w:val="20"/>
                <w:szCs w:val="20"/>
              </w:rPr>
              <w:t xml:space="preserve">2. Погодження Урядом рішення про перетворення ДП «НАЕК «Енергоатом» та державна реєстрація акціонерного товариства</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 КМУ</w:t>
            </w:r>
          </w:p>
        </w:tc>
      </w:tr>
      <w:tr>
        <w:trPr/>
        <w:tc>
          <w:tcPr>
            <w:vMerge w:val="continue"/>
          </w:tcPr>
          <w:p/>
        </w:tc>
        <w:tc>
          <w:tcPr>
            <w:vAlign w:val="center"/>
            <w:vMerge w:val="restart"/>
          </w:tcPr>
          <w:p>
            <w:pPr>
              <w:jc w:val="center"/>
            </w:pPr>
            <w:r>
              <w:rPr>
                <w:sz w:val="20"/>
                <w:szCs w:val="20"/>
              </w:rPr>
              <w:t xml:space="preserve">Утворення наглядової ради на ДП «НАЕК» Енергоатом»</w:t>
            </w:r>
          </w:p>
        </w:tc>
        <w:tc>
          <w:tcPr>
            <w:vAlign w:val="center"/>
          </w:tcPr>
          <w:p>
            <w:pPr>
              <w:jc w:val="center"/>
            </w:pPr>
            <w:r>
              <w:rPr>
                <w:sz w:val="20"/>
                <w:szCs w:val="20"/>
              </w:rPr>
              <w:t xml:space="preserve">1. Затвердження установчих та інших документів, що регламентують діяльність наглядової ради та прийняття рішення про оголошення конкурсного відбору</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r>
        <w:trPr/>
        <w:tc>
          <w:tcPr>
            <w:vMerge w:val="continue"/>
          </w:tcPr>
          <w:p/>
        </w:tc>
        <w:tc>
          <w:tcPr>
            <w:vMerge w:val="continue"/>
          </w:tcPr>
          <w:p/>
        </w:tc>
        <w:tc>
          <w:tcPr>
            <w:vAlign w:val="center"/>
          </w:tcPr>
          <w:p>
            <w:pPr>
              <w:jc w:val="center"/>
            </w:pPr>
            <w:r>
              <w:rPr>
                <w:sz w:val="20"/>
                <w:szCs w:val="20"/>
              </w:rPr>
              <w:t xml:space="preserve">2. Затвердження персонального складу наглядової ради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Мінекоенерго</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3C76C3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2020-02-10T10:29:50+02:00</dcterms:created>
  <dcterms:modified xsi:type="dcterms:W3CDTF">2020-02-10T10:29:50+02:00</dcterms:modified>
</cp:coreProperties>
</file>

<file path=docProps/custom.xml><?xml version="1.0" encoding="utf-8"?>
<Properties xmlns="http://schemas.openxmlformats.org/officeDocument/2006/custom-properties" xmlns:vt="http://schemas.openxmlformats.org/officeDocument/2006/docPropsVTypes"/>
</file>