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9.6. «Українці більш ефективно та ощадливо використовують природні ресурси»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Українці не отримують належних матеріальних благ від неефективного та неощадливого використання природних ресурсів, які їм належать на конституційному праві власності</w:t>
      </w:r>
    </w:p>
    <w:p>
      <w:pPr/>
      <w:r>
        <w:rPr>
          <w:b w:val="1"/>
          <w:bCs w:val="1"/>
        </w:rPr>
        <w:t xml:space="preserve">1.2. Носій проблеми </w:t>
      </w:r>
    </w:p>
    <w:p>
      <w:pPr/>
      <w:r>
        <w:rPr/>
        <w:t xml:space="preserve">Населення України</w:t>
      </w:r>
    </w:p>
    <w:p>
      <w:pPr/>
      <w:r>
        <w:rPr>
          <w:b w:val="1"/>
          <w:bCs w:val="1"/>
        </w:rPr>
        <w:t xml:space="preserve">1.3. Масштаб проблеми: Загальнонаціональна</w:t>
      </w:r>
    </w:p>
    <w:p>
      <w:pPr/>
      <w:hyperlink w:anchor="_ftn1" w:history="1">
        <w:r>
          <w:rPr/>
          <w:t xml:space="preserve">[1]</w:t>
        </w:r>
      </w:hyperlink>
    </w:p>
    <w:p>
      <w:pPr/>
      <w:r>
        <w:rPr/>
        <w:t xml:space="preserve"> </w:t>
      </w:r>
    </w:p>
    <w:p>
      <w:pPr/>
      <w:hyperlink w:anchor="_ftnref1" w:history="1">
        <w:r>
          <w:rPr/>
          <w:t xml:space="preserve">[1]</w:t>
        </w:r>
      </w:hyperlink>
      <w:r>
        <w:rPr/>
        <w:t xml:space="preserve"> Чисельність населення на 1 вересня 2019 року склала 41960033 осіб - Демографічна та соціальна статистика / Населення та міграція. Державна служба статистики України - </w:t>
      </w:r>
      <w:hyperlink r:id="rId9" w:history="1">
        <w:r>
          <w:rPr/>
          <w:t xml:space="preserve">http://www.ukrstat.gov.ua/</w:t>
        </w:r>
      </w:hyperlink>
    </w:p>
    <w:p>
      <w:pPr/>
      <w:r>
        <w:rPr>
          <w:b w:val="1"/>
          <w:bCs w:val="1"/>
        </w:rPr>
        <w:t xml:space="preserve">1.4. Гострота проблеми: Гостра</w:t>
      </w:r>
    </w:p>
    <w:p>
      <w:pPr/>
      <w:r>
        <w:rPr/>
        <w:t xml:space="preserve">За попередніми підрахунками сума недоотриманих матеріальних благ українців від неефективного та неощадливого використання природних ресурсів складає 251,57 млрд. гривень в 2018 році</w:t>
      </w:r>
      <w:hyperlink w:anchor="_ftn1" w:history="1">
        <w:r>
          <w:rPr/>
          <w:t xml:space="preserve">[1]</w:t>
        </w:r>
      </w:hyperlink>
    </w:p>
    <w:p>
      <w:pPr/>
      <w:r>
        <w:rPr/>
        <w:t xml:space="preserve"> </w:t>
      </w:r>
    </w:p>
    <w:p>
      <w:pPr/>
      <w:hyperlink w:anchor="_ftnref1" w:history="1">
        <w:r>
          <w:rPr/>
          <w:t xml:space="preserve">[1]</w:t>
        </w:r>
      </w:hyperlink>
      <w:r>
        <w:rPr/>
        <w:t xml:space="preserve"> Ця сума включає: 10 млрд. доларів США, які Україна витрачає на імпорт паливно-енергетичних ресурсів; 2,8 млн. доларів США, які втрачають суб’єкти господарювання від неможливості використання 12% резерву промислового вилову водних біоресурсів; 60 млн. грн. втрачається від не здачі в оренду усіх можливих водних об’єктів; 35,8 млн. грн. втрачається від не проведення перерахунку розміру орендної плати за водні об’єкти; 116,7 млн. грн. втрачається від незаконних рубок деревини; 200 млн. грн. втрачається від функціонування нелегальних лісопилок; 140 млн. гривень втрачається від продажу необлікованої деревини; 60 млн. доларів США втрачається від нелегального видобування бурштину тільки в Житомирській області.</w:t>
      </w:r>
    </w:p>
    <w:p>
      <w:pPr/>
      <w:r>
        <w:rPr>
          <w:b w:val="1"/>
          <w:bCs w:val="1"/>
        </w:rPr>
        <w:t xml:space="preserve">1.5. Динаміка проблеми:  Негативна</w:t>
      </w:r>
    </w:p>
    <w:p>
      <w:pPr/>
      <w:r>
        <w:rPr/>
        <w:t xml:space="preserve">Природні ресурси використовуються не на повний потенціал: 1/3 водних об’єктів України перебувають в оренді</w:t>
      </w:r>
      <w:hyperlink w:anchor="_ftn1" w:history="1">
        <w:r>
          <w:rPr/>
          <w:t xml:space="preserve">[1]</w:t>
        </w:r>
      </w:hyperlink>
      <w:r>
        <w:rPr/>
        <w:t xml:space="preserve">; 16% родовищ корисних копалин освоєно</w:t>
      </w:r>
      <w:hyperlink w:anchor="_ftn2" w:history="1">
        <w:r>
          <w:rPr/>
          <w:t xml:space="preserve">[2]</w:t>
        </w:r>
      </w:hyperlink>
      <w:r>
        <w:rPr/>
        <w:t xml:space="preserve">. Природні ресурси, які перебувають у користуванні, використовуються нераціонально і неощадливо: показник видобутку природного газу та нафти є недостатнім</w:t>
      </w:r>
      <w:hyperlink w:anchor="_ftn3" w:history="1">
        <w:r>
          <w:rPr/>
          <w:t xml:space="preserve">[3]</w:t>
        </w:r>
      </w:hyperlink>
      <w:r>
        <w:rPr/>
        <w:t xml:space="preserve"> – у 2018 році склав 2,5% та 1,3% відповідно</w:t>
      </w:r>
      <w:hyperlink w:anchor="_ftn4" w:history="1">
        <w:r>
          <w:rPr/>
          <w:t xml:space="preserve">[4]</w:t>
        </w:r>
      </w:hyperlink>
      <w:r>
        <w:rPr/>
        <w:t xml:space="preserve">, в той час як Україна витрачає на імпорт паливно-енергетичних ресурсів 10 млрд. доларів США; фактичний дохід суспільства з оренди 1 га дзеркала поверхні прісних водойм є у 4,5 рази менше за нормативно-визначений</w:t>
      </w:r>
      <w:hyperlink w:anchor="_ftn5" w:history="1">
        <w:r>
          <w:rPr/>
          <w:t xml:space="preserve">[5]</w:t>
        </w:r>
      </w:hyperlink>
      <w:r>
        <w:rPr/>
        <w:t xml:space="preserve">; показник рибопродуктивності ставкової інтенсивної аквакультури складає лише 25% від нормативно-встановленого</w:t>
      </w:r>
      <w:hyperlink w:anchor="_ftn6" w:history="1">
        <w:r>
          <w:rPr/>
          <w:t xml:space="preserve">[6]</w:t>
        </w:r>
      </w:hyperlink>
      <w:r>
        <w:rPr/>
        <w:t xml:space="preserve">. Окрім цього, використання деяких природних ресурсів відбувається незаконно, наприклад, бурштину, лісових ресурсів, водних біоресурсів: сума збитків від незаконних рубок за період 2015-2018 рр. збільшилась на 30%</w:t>
      </w:r>
      <w:hyperlink w:anchor="_ftn7" w:history="1">
        <w:r>
          <w:rPr/>
          <w:t xml:space="preserve">[7]</w:t>
        </w:r>
      </w:hyperlink>
      <w:r>
        <w:rPr/>
        <w:t xml:space="preserve">, а загальна сума збитків від незаконних рубок за цей же період склала 498,3 млн. грн.; кількість нелегальних лісопилок склала 12 тис., що в 1,3 рази більше ніж легальна діяльність і спричиняє щорічні збитки державі від недоотримання податкових надходжень у розмірі 200 млн. гривень; 60% загального об’єму промислового рибальства в Україні є незаконним, непідзвітним та неконтрольованим рибальством, що складає приблизно 42 тис. тонн в рік та завдає збитків державі у розмірі 839,3 млн. грн.; самовільне зайняття водного об’єкта призводить до втрати місцевими бюджетами щорічно мінімум 60 млн грн.</w:t>
      </w:r>
      <w:hyperlink w:anchor="_ftn8" w:history="1">
        <w:r>
          <w:rPr/>
          <w:t xml:space="preserve">[8]</w:t>
        </w:r>
      </w:hyperlink>
      <w:r>
        <w:rPr/>
        <w:t xml:space="preserve">.</w:t>
      </w:r>
    </w:p>
    <w:p>
      <w:pPr/>
      <w:r>
        <w:rPr/>
        <w:t xml:space="preserve"> </w:t>
      </w:r>
    </w:p>
    <w:p>
      <w:pPr/>
      <w:r>
        <w:rPr/>
        <w:t xml:space="preserve">Якщо існуюча політика не буде змінена, то гострота проблеми буде збільшуватися, оскільки українці продовжуватимуть втрачати щонайменше 251,57 млрд. гривень щороку, а стан навколишнього природного середовища буде погіршуватися через неощадливе використання природних ресурсів.</w:t>
      </w:r>
    </w:p>
    <w:p>
      <w:pPr/>
      <w:r>
        <w:rPr/>
        <w:t xml:space="preserve"> </w:t>
      </w:r>
    </w:p>
    <w:p>
      <w:pPr/>
      <w:hyperlink w:anchor="_ftnref1" w:history="1">
        <w:r>
          <w:rPr/>
          <w:t xml:space="preserve">[1]</w:t>
        </w:r>
      </w:hyperlink>
      <w:r>
        <w:rPr/>
        <w:t xml:space="preserve"> За даними Державного водного агентства України станом на 01.01.2019 із наявних в Україні 47450 водних об’єктів загальною площею водного дзеркала 276,29 тис. га в оренду передано 17440 водних об’єктів загальною площею 119,62 тис. га.</w:t>
      </w:r>
    </w:p>
    <w:p>
      <w:pPr/>
      <w:hyperlink w:anchor="_ftnref2" w:history="1">
        <w:r>
          <w:rPr/>
          <w:t xml:space="preserve">[2]</w:t>
        </w:r>
      </w:hyperlink>
      <w:r>
        <w:rPr/>
        <w:t xml:space="preserve"> Маючи понад 20000 родовищ корисних копалин, промисловістю України освоєно лише 16% з них, а саме 3286 родовищ, що містять від 40 до 75% розвіданих запасів різноманітних корисних копалин - Щорічник “Мінеральні ресурси України” - Київ, 2018 - </w:t>
      </w:r>
      <w:hyperlink r:id="rId18" w:history="1">
        <w:r>
          <w:rPr/>
          <w:t xml:space="preserve">http://geoinf.kiev.ua/publikatsiyi/shchorichnyky/mineralni-resursy-ukrayiny/</w:t>
        </w:r>
      </w:hyperlink>
    </w:p>
    <w:p>
      <w:pPr/>
      <w:hyperlink w:anchor="_ftnref3" w:history="1">
        <w:r>
          <w:rPr/>
          <w:t xml:space="preserve">[3]</w:t>
        </w:r>
      </w:hyperlink>
      <w:r>
        <w:rPr/>
        <w:t xml:space="preserve"> Показник видобутку нафти в Мексиці у 2018 році склав 9,3%, у США – 9,1%; показник видобутку нафти в Канаді у 2018 році склав 9,7%, у США – 6,9% - BP Statistical Review of World Energy, 2019</w:t>
      </w:r>
    </w:p>
    <w:p>
      <w:pPr/>
      <w:hyperlink w:anchor="_ftnref4" w:history="1">
        <w:r>
          <w:rPr/>
          <w:t xml:space="preserve">[4]</w:t>
        </w:r>
      </w:hyperlink>
      <w:r>
        <w:rPr/>
        <w:t xml:space="preserve"> Щорічник “Мінеральні ресурси України” - Київ, 2018: балансові (видобувні) запаси природного газу на 01.01.2018 року = 829449 млн.м.куб., видобуток в 2017 р. = 20509 млн.м.куб.;  балансові (видобувні) запаси нафти на 01.01.2018 року = 109574 тис.тонн, видобуток в 2017 р. = 1515 тис.тонн - </w:t>
      </w:r>
      <w:hyperlink r:id="rId18" w:history="1">
        <w:r>
          <w:rPr/>
          <w:t xml:space="preserve">http://geoinf.kiev.ua/publikatsiyi/shchorichnyky/mineralni-resursy-ukrayiny/</w:t>
        </w:r>
      </w:hyperlink>
    </w:p>
    <w:p>
      <w:pPr/>
      <w:hyperlink w:anchor="_ftnref5" w:history="1">
        <w:r>
          <w:rPr/>
          <w:t xml:space="preserve">[5]</w:t>
        </w:r>
      </w:hyperlink>
      <w:r>
        <w:rPr/>
        <w:t xml:space="preserve"> За даними Державного агентства водних ресурсів України фактичний дохід з оренди 1 га дзеркала поверхні прісних водойм складає 86,6 грн, а нормативна середня вартість оренди 1 га складає 386,58 грн., що визначена відповідно до Методики визначення розміру плати за надані в оренду водні об’єкти, затвердженої наказом Міністерства екології та природних ресурсів України від 28.05.2013  № 236</w:t>
      </w:r>
    </w:p>
    <w:p>
      <w:pPr/>
      <w:hyperlink w:anchor="_ftnref6" w:history="1">
        <w:r>
          <w:rPr/>
          <w:t xml:space="preserve">[6]</w:t>
        </w:r>
      </w:hyperlink>
      <w:r>
        <w:rPr/>
        <w:t xml:space="preserve"> За даними Державного агентства рибного господарства України у 2018 році фактична рибопродуктивність ставкової аквакультури склала 3,5 ц/га, а нормативна мінімальна розрахункова рибопродуктивність при інтенсивному веденні ставкової аквакультури склала 14 ц/га, відповідно до Наказу Міністерства аграрної політики та продовольства України «Про затвердження Зон аквакультури (рибництва) та рибопродуктивності по регіонах України» від 30.01.2013 № 45</w:t>
      </w:r>
    </w:p>
    <w:p>
      <w:pPr/>
      <w:hyperlink w:anchor="_ftnref7" w:history="1">
        <w:r>
          <w:rPr/>
          <w:t xml:space="preserve">[7]</w:t>
        </w:r>
      </w:hyperlink>
      <w:r>
        <w:rPr/>
        <w:t xml:space="preserve"> За інформацією Державного агентства лісових ресурсів України сума збитків від незаконних рубок за 2015 рік склала 87 млн. грн, а у 2018 році - 116,7 млн. грн.</w:t>
      </w:r>
    </w:p>
    <w:p>
      <w:pPr/>
      <w:hyperlink w:anchor="_ftnref8" w:history="1">
        <w:r>
          <w:rPr/>
          <w:t xml:space="preserve">[8]</w:t>
        </w:r>
      </w:hyperlink>
      <w:r>
        <w:rPr/>
        <w:t xml:space="preserve">  60569354,4 грн. = 156,67 тис. га * 386,58 грн (середня вартість оренди 1 га, що визначена відповідно до Методики визначення розміру плати за надані в оренду водні об’єкти, затвердженої наказом Міністерства екології та природних ресурсів України від 28.05.2013 року № 236)</w:t>
      </w:r>
    </w:p>
    <w:p>
      <w:pPr/>
      <w:r>
        <w:rPr>
          <w:b w:val="1"/>
          <w:bCs w:val="1"/>
        </w:rPr>
        <w:t xml:space="preserve">1.6. Причини проблеми</w:t>
      </w:r>
    </w:p>
    <w:p>
      <w:pPr/>
      <w:r>
        <w:rPr/>
        <w:t xml:space="preserve">Причина 1 - Природні ресурси надаються у користування, продаються без застосування відкритих, конкурентних та прозорих процедур</w:t>
      </w:r>
    </w:p>
    <w:p>
      <w:pPr/>
      <w:r>
        <w:rPr/>
        <w:t xml:space="preserve">Причина 2 - Інформація про природні ресурси та їх використання є обмеженою або закритою</w:t>
      </w:r>
    </w:p>
    <w:p>
      <w:pPr/>
      <w:r>
        <w:rPr/>
        <w:t xml:space="preserve">Причина 3 - Незаконне використання природних ресурсів</w:t>
      </w:r>
    </w:p>
    <w:p>
      <w:pPr/>
      <w:r>
        <w:rPr/>
        <w:t xml:space="preserve">Причина 4 - Неефективні заходи з моніторингу та попередження втрати якості природних ресурсів</w:t>
      </w:r>
    </w:p>
    <w:p>
      <w:pPr/>
      <w:r>
        <w:rPr/>
        <w:t xml:space="preserve">Причина 5 - За користування природними ресурсами справляється занижена плата</w:t>
      </w:r>
    </w:p>
    <w:p>
      <w:pPr/>
      <w:r>
        <w:rPr/>
        <w:t xml:space="preserve">Причина 6 - Існування значної кількості важковидобувних запасів, що глибоко залягають і розкидані серед родовищ</w:t>
      </w:r>
    </w:p>
    <w:p>
      <w:pPr/>
      <w:r>
        <w:rPr>
          <w:b w:val="1"/>
          <w:bCs w:val="1"/>
        </w:rPr>
        <w:t xml:space="preserve">1.7. Показники ефективності політики</w:t>
      </w:r>
    </w:p>
    <w:p>
      <w:pPr>
        <w:numPr>
          <w:ilvl w:val="0"/>
          <w:numId w:val="1"/>
        </w:numPr>
      </w:pPr>
      <w:r>
        <w:rPr/>
        <w:t xml:space="preserve">Збільшення доходу на використання 1 га земель лісового фонду</w:t>
      </w:r>
    </w:p>
    <w:p>
      <w:pPr>
        <w:numPr>
          <w:ilvl w:val="0"/>
          <w:numId w:val="1"/>
        </w:numPr>
      </w:pPr>
      <w:r>
        <w:rPr/>
        <w:t xml:space="preserve">Збільшення доходу на використання 1 га дзеркала поверхні прісних водойм</w:t>
      </w:r>
    </w:p>
    <w:p>
      <w:pPr>
        <w:numPr>
          <w:ilvl w:val="0"/>
          <w:numId w:val="1"/>
        </w:numPr>
      </w:pPr>
      <w:r>
        <w:rPr/>
        <w:t xml:space="preserve">Збільшення доходу від користування та відсотку вилучення корисних копалин при видобуванні</w:t>
      </w:r>
    </w:p>
    <w:p>
      <w:pPr/>
      <w:r>
        <w:rPr>
          <w:b w:val="1"/>
          <w:bCs w:val="1"/>
        </w:rPr>
        <w:t xml:space="preserve">1.8. Опис чинної державної політики щодо вирішення проблеми / її причин.</w:t>
      </w:r>
    </w:p>
    <w:p>
      <w:pPr/>
      <w:r>
        <w:rPr/>
        <w:t xml:space="preserve">Не існує єдиного концептуального документа у сфері ефективного та ощадливого використання природних ресурсів. Такі норми зустрічаються в Концепції розвитку газовидобувної галузі України</w:t>
      </w:r>
      <w:hyperlink w:anchor="_ftn1" w:history="1">
        <w:r>
          <w:rPr/>
          <w:t xml:space="preserve">[1]</w:t>
        </w:r>
      </w:hyperlink>
      <w:r>
        <w:rPr/>
        <w:t xml:space="preserve">, Законі України «Про Основні засади (стратегію) державної екологічної політики України на період до 2030 року»</w:t>
      </w:r>
      <w:hyperlink w:anchor="_ftn2" w:history="1">
        <w:r>
          <w:rPr/>
          <w:t xml:space="preserve">[2]</w:t>
        </w:r>
      </w:hyperlink>
      <w:r>
        <w:rPr/>
        <w:t xml:space="preserve">, Указі Президента України «Про деякі заходи щодо збереження лісів та раціонального використання лісових ресурсів» від 9 липня 2019 року № 511/2019.</w:t>
      </w:r>
    </w:p>
    <w:p>
      <w:pPr/>
      <w:r>
        <w:rPr/>
        <w:t xml:space="preserve">Угода про асоціацію</w:t>
      </w:r>
      <w:hyperlink w:anchor="_ftn3" w:history="1">
        <w:r>
          <w:rPr/>
          <w:t xml:space="preserve">[3]</w:t>
        </w:r>
      </w:hyperlink>
      <w:r>
        <w:rPr/>
        <w:t xml:space="preserve"> містить норми щодо співробітництва Сторін з метою сприяння обґрунтованому і раціональному використанню природних ресурсів відповідно до цілей сталого розвитку</w:t>
      </w:r>
      <w:hyperlink w:anchor="_ftn4" w:history="1">
        <w:r>
          <w:rPr/>
          <w:t xml:space="preserve">[4]</w:t>
        </w:r>
      </w:hyperlink>
      <w:r>
        <w:rPr/>
        <w:t xml:space="preserve">. Також необхідно враховувати, що згідно з Угодою про асоціацію Україна не повинна послаблювати або знижувати рівень охорони навколишнього середовища, передбачений в її законодавстві, з метою сприяння торгівлі або інвестиціям</w:t>
      </w:r>
      <w:hyperlink w:anchor="_ftn5" w:history="1">
        <w:r>
          <w:rPr/>
          <w:t xml:space="preserve">[5]</w:t>
        </w:r>
      </w:hyperlink>
      <w:r>
        <w:rPr/>
        <w:t xml:space="preserve">.</w:t>
      </w:r>
    </w:p>
    <w:p>
      <w:pPr/>
      <w:r>
        <w:rPr/>
        <w:t xml:space="preserve">Євроінтеграційні зобов'язання України, пов'язані з ефективним та ощадливим використання ресурсів, є зокрема в таких сферах:</w:t>
      </w:r>
    </w:p>
    <w:p>
      <w:pPr/>
      <w:r>
        <w:rPr>
          <w:i w:val="1"/>
          <w:iCs w:val="1"/>
        </w:rPr>
        <w:t xml:space="preserve">Землі лісового фонду</w:t>
      </w:r>
    </w:p>
    <w:p>
      <w:pPr/>
      <w:r>
        <w:rPr/>
        <w:t xml:space="preserve">Україна повинна сприяти сталому використанню лісових ресурсів, для чого зобов’язалася покращувати правозастосування та управління в лісовій галузі, а також сприяти торгівлі легальною лісовою продукцією</w:t>
      </w:r>
      <w:hyperlink w:anchor="_ftn6" w:history="1">
        <w:r>
          <w:rPr/>
          <w:t xml:space="preserve">[6]</w:t>
        </w:r>
      </w:hyperlink>
      <w:r>
        <w:rPr/>
        <w:t xml:space="preserve">.</w:t>
      </w:r>
    </w:p>
    <w:p>
      <w:pPr/>
      <w:r>
        <w:rPr>
          <w:i w:val="1"/>
          <w:iCs w:val="1"/>
        </w:rPr>
        <w:t xml:space="preserve">Дзеркало поверхні прісних водойм</w:t>
      </w:r>
    </w:p>
    <w:p>
      <w:pPr/>
      <w:r>
        <w:rPr/>
        <w:t xml:space="preserve">Україна визнає важливість забезпечення відповідального управління рибними запасами на сталих засадах</w:t>
      </w:r>
      <w:hyperlink w:anchor="_ftn7" w:history="1">
        <w:r>
          <w:rPr/>
          <w:t xml:space="preserve">[7]</w:t>
        </w:r>
      </w:hyperlink>
      <w:r>
        <w:rPr/>
        <w:t xml:space="preserve">. Для досягнення цієї мети Україна зобов’язана співпрацювати з ЄС. Однією з форм такої співпраці у сфері торгівлі рибними ресурсами є запровадження, зокрема, засобів захисту торгівлі з метою боротьби з незаконним, непідзвітним та нерегульованим рибальством.</w:t>
      </w:r>
    </w:p>
    <w:p>
      <w:pPr/>
      <w:r>
        <w:rPr/>
        <w:t xml:space="preserve">Крім того, Директивою 2000/60/ЄС</w:t>
      </w:r>
      <w:hyperlink w:anchor="_ftn8" w:history="1">
        <w:r>
          <w:rPr/>
          <w:t xml:space="preserve">[8]</w:t>
        </w:r>
      </w:hyperlink>
      <w:r>
        <w:rPr/>
        <w:t xml:space="preserve"> з метою забезпечення раціонального використання природних ресурсів передбачено необхідність впровадження аналізу характеристик районів річкових басейнів (визначення їх характеристик, впливу діяльності людини на стан поверхневих вод і на грунтові води, а також проведення економічного аналізу водокористування), а також запровадження програм моніторингу якості води.</w:t>
      </w:r>
    </w:p>
    <w:p>
      <w:pPr/>
      <w:r>
        <w:rPr>
          <w:i w:val="1"/>
          <w:iCs w:val="1"/>
        </w:rPr>
        <w:t xml:space="preserve">Видобування корисних копалин</w:t>
      </w:r>
    </w:p>
    <w:p>
      <w:pPr/>
      <w:r>
        <w:rPr/>
        <w:t xml:space="preserve">Угодою про асоціацію та Директивою 94/22/ЄС</w:t>
      </w:r>
      <w:hyperlink w:anchor="_ftn9" w:history="1">
        <w:r>
          <w:rPr/>
          <w:t xml:space="preserve">[9]</w:t>
        </w:r>
      </w:hyperlink>
      <w:r>
        <w:rPr/>
        <w:t xml:space="preserve"> про надра з метою забезпечення пошуку, розвідки та видобутку вуглеводневих ресурсів в найбільш ефективний спосіб передбачено, зокрема, недискримінаційний доступ до користування вуглеводнями; впровадження відкритої для участі всіх заінтересованих суб'єктів господарювання дозвільної процедури; право накладання додаткових умов розвідування та видобутку вуглеводнів з огляду на забезпечення раціонального використання вуглеводневих ресурсів (наприклад, ступінь вичерпаності запасів або оптимізація їх вилучення з надр)</w:t>
      </w:r>
    </w:p>
    <w:p>
      <w:pPr/>
      <w:r>
        <w:rPr/>
        <w:t xml:space="preserve"> </w:t>
      </w:r>
    </w:p>
    <w:p>
      <w:pPr/>
      <w:hyperlink w:anchor="_ftnref1" w:history="1">
        <w:r>
          <w:rPr/>
          <w:t xml:space="preserve">[1]</w:t>
        </w:r>
      </w:hyperlink>
      <w:r>
        <w:rPr/>
        <w:t xml:space="preserve"> </w:t>
      </w:r>
      <w:hyperlink r:id="rId26" w:history="1">
        <w:r>
          <w:rPr/>
          <w:t xml:space="preserve">https://zakon.rada.gov.ua/laws/main/1079-2016-%D1%80</w:t>
        </w:r>
      </w:hyperlink>
    </w:p>
    <w:p>
      <w:pPr/>
      <w:hyperlink w:anchor="_ftnref2" w:history="1">
        <w:r>
          <w:rPr/>
          <w:t xml:space="preserve">[2]</w:t>
        </w:r>
      </w:hyperlink>
      <w:r>
        <w:rPr/>
        <w:t xml:space="preserve"> </w:t>
      </w:r>
      <w:hyperlink r:id="rId27" w:history="1">
        <w:r>
          <w:rPr/>
          <w:t xml:space="preserve">https://zakon.rada.gov.ua/laws/main/2697-19</w:t>
        </w:r>
      </w:hyperlink>
    </w:p>
    <w:p>
      <w:pPr/>
      <w:hyperlink w:anchor="_ftnref3" w:history="1">
        <w:r>
          <w:rPr/>
          <w:t xml:space="preserve">[3]</w:t>
        </w:r>
      </w:hyperlink>
      <w:r>
        <w:rPr/>
        <w:t xml:space="preserve"> Угода про асоціацію між Україною, з однієї сторони, та Європейським Союзом, Європейським співтовариством з атомної енергії і їхніми державами-членами, з іншої сторони</w:t>
      </w:r>
    </w:p>
    <w:p>
      <w:pPr/>
      <w:hyperlink w:anchor="_ftnref4" w:history="1">
        <w:r>
          <w:rPr/>
          <w:t xml:space="preserve">[4]</w:t>
        </w:r>
      </w:hyperlink>
      <w:r>
        <w:rPr/>
        <w:t xml:space="preserve"> Стаття  292 Глави 13 "Торгівля та сталий розвиток" Розділу IV Угоди про асоціацію</w:t>
      </w:r>
    </w:p>
    <w:p>
      <w:pPr/>
      <w:hyperlink w:anchor="_ftnref5" w:history="1">
        <w:r>
          <w:rPr/>
          <w:t xml:space="preserve">[5]</w:t>
        </w:r>
      </w:hyperlink>
      <w:r>
        <w:rPr/>
        <w:t xml:space="preserve"> Частина 2 Статті 296 «Підтримка рівнів захисту» Глави 13 "Торгівля та сталий розвиток" Розділу IV Угоди про асоціацію</w:t>
      </w:r>
    </w:p>
    <w:p>
      <w:pPr/>
      <w:hyperlink w:anchor="_ftnref6" w:history="1">
        <w:r>
          <w:rPr/>
          <w:t xml:space="preserve">[6]</w:t>
        </w:r>
      </w:hyperlink>
      <w:r>
        <w:rPr/>
        <w:t xml:space="preserve"> Відповідно до статті 294 Глави 13 «Торгівля та сталий розвиток» Розділу IV Угоди про асоціацію</w:t>
      </w:r>
    </w:p>
    <w:p>
      <w:pPr/>
      <w:hyperlink w:anchor="_ftnref7" w:history="1">
        <w:r>
          <w:rPr/>
          <w:t xml:space="preserve">[7]</w:t>
        </w:r>
      </w:hyperlink>
      <w:r>
        <w:rPr/>
        <w:t xml:space="preserve"> Стаття 295 «Торгівля рибними ресурсами» Глави 13"Торгівля та сталий розвиток" Розділу IV Угоди про асоціацію</w:t>
      </w:r>
    </w:p>
    <w:p>
      <w:pPr/>
      <w:hyperlink w:anchor="_ftnref8" w:history="1">
        <w:r>
          <w:rPr/>
          <w:t xml:space="preserve">[8]</w:t>
        </w:r>
      </w:hyperlink>
      <w:r>
        <w:rPr/>
        <w:t xml:space="preserve"> Статті 5 та 8 Директиви № 2000/60/ЄС про встановлення рамок діяльності Співтовариства у сфері водної політики  повинні бути імплементовані протягом  6 років з  дати набрання чинності Угодою про асоціацію </w:t>
      </w:r>
      <w:r>
        <w:rPr>
          <w:i w:val="1"/>
          <w:iCs w:val="1"/>
        </w:rPr>
        <w:t xml:space="preserve">(дедлайн імплементації відповідно до Угоди про асоціацію – 31 жовтня 2017 року; Плану заходів з виконання Угоди про асоціацію – 31 жовтня 2020 року Додаток ХХХ до Угоди про асоціацію)</w:t>
      </w:r>
    </w:p>
    <w:p>
      <w:pPr/>
      <w:hyperlink w:anchor="_ftnref9" w:history="1">
        <w:r>
          <w:rPr/>
          <w:t xml:space="preserve">[9]</w:t>
        </w:r>
      </w:hyperlink>
      <w:r>
        <w:rPr/>
        <w:t xml:space="preserve">Директива 94/22/ЄС Європейського Парламенту та Ради від 30 травня 1994 року щодо умов надання та використання дозволів на пошук, розвідку та виробництво вуглеводнів </w:t>
      </w:r>
      <w:r>
        <w:rPr>
          <w:i w:val="1"/>
          <w:iCs w:val="1"/>
        </w:rPr>
        <w:t xml:space="preserve">(дедлайн імплементації відповідно до Угоди про асоціацію - до 1 листопада 2017 року</w:t>
      </w:r>
      <w:r>
        <w:rPr/>
        <w:t xml:space="preserve">; </w:t>
      </w:r>
      <w:r>
        <w:rPr>
          <w:i w:val="1"/>
          <w:iCs w:val="1"/>
        </w:rPr>
        <w:t xml:space="preserve">Плану заходів</w:t>
      </w:r>
      <w:r>
        <w:rPr/>
        <w:t xml:space="preserve">, яким передбачено необхідність внесення змін до Кодексу про надра, прийняття нового порядку надання надр у користування та інш., - </w:t>
      </w:r>
      <w:r>
        <w:rPr>
          <w:i w:val="1"/>
          <w:iCs w:val="1"/>
        </w:rPr>
        <w:t xml:space="preserve">до 31 жовтня 2019 р)</w:t>
      </w:r>
    </w:p>
    <w:p>
      <w:pPr/>
      <w:r>
        <w:rPr>
          <w:b w:val="1"/>
          <w:bCs w:val="1"/>
        </w:rPr>
        <w:t xml:space="preserve">2.	ПРОПОНОВАНИЙ КУРС ПОЛІТИКИ</w:t>
      </w:r>
    </w:p>
    <w:p>
      <w:pPr/>
      <w:r>
        <w:rPr>
          <w:b w:val="1"/>
          <w:bCs w:val="1"/>
        </w:rPr>
        <w:t xml:space="preserve">2.1. Підціль 1 “Запровадження конкурентного та прозорого способу отримання права на користування всіма видами надр, правил торгівлі деревиною”</w:t>
      </w:r>
    </w:p>
    <w:p>
      <w:pPr/>
      <w:r>
        <w:rPr>
          <w:b w:val="1"/>
          <w:bCs w:val="1"/>
        </w:rPr>
        <w:t xml:space="preserve">Показники результативності: </w:t>
      </w:r>
    </w:p>
    <w:p>
      <w:pPr>
        <w:numPr>
          <w:ilvl w:val="0"/>
          <w:numId w:val="1"/>
        </w:numPr>
      </w:pPr>
      <w:r>
        <w:rPr/>
        <w:t xml:space="preserve">Усі види надр надаються у користування через конкурентні та прозорі механізми</w:t>
      </w:r>
    </w:p>
    <w:p>
      <w:pPr>
        <w:numPr>
          <w:ilvl w:val="0"/>
          <w:numId w:val="1"/>
        </w:numPr>
      </w:pPr>
      <w:r>
        <w:rPr/>
        <w:t xml:space="preserve">60% продажу деревини здійснюється з дотриманням принципу конкуренції</w:t>
      </w:r>
    </w:p>
    <w:p>
      <w:pPr>
        <w:numPr>
          <w:ilvl w:val="0"/>
          <w:numId w:val="1"/>
        </w:numPr>
      </w:pPr>
      <w:r>
        <w:rPr/>
        <w:t xml:space="preserve">100% водних об’єктів передаються у користування через конкурентні та прозорі механізми, крім заборонених Водним Кодексом України</w:t>
      </w:r>
    </w:p>
    <w:p>
      <w:pPr/>
      <w:r>
        <w:rPr>
          <w:b w:val="1"/>
          <w:bCs w:val="1"/>
        </w:rPr>
        <w:t xml:space="preserve">Завдання до підцілі 1: </w:t>
      </w:r>
    </w:p>
    <w:p>
      <w:pPr>
        <w:numPr>
          <w:ilvl w:val="0"/>
          <w:numId w:val="1"/>
        </w:numPr>
      </w:pPr>
      <w:r>
        <w:rPr/>
        <w:t xml:space="preserve">1.	Створення електронного кабінету надрокористувача</w:t>
      </w:r>
    </w:p>
    <w:p>
      <w:pPr>
        <w:numPr>
          <w:ilvl w:val="0"/>
          <w:numId w:val="1"/>
        </w:numPr>
      </w:pPr>
      <w:r>
        <w:rPr/>
        <w:t xml:space="preserve">2.	Розповсюдження конкурентних способів видачі дозволів на всі надра</w:t>
      </w:r>
    </w:p>
    <w:p>
      <w:pPr>
        <w:numPr>
          <w:ilvl w:val="0"/>
          <w:numId w:val="1"/>
        </w:numPr>
      </w:pPr>
      <w:r>
        <w:rPr/>
        <w:t xml:space="preserve">3.	Розробка та прийняття прозорих та рівних правил торгівлі деревиною, а також її продажу на електронних торгах</w:t>
      </w:r>
    </w:p>
    <w:p>
      <w:pPr>
        <w:numPr>
          <w:ilvl w:val="0"/>
          <w:numId w:val="1"/>
        </w:numPr>
      </w:pPr>
      <w:r>
        <w:rPr/>
        <w:t xml:space="preserve">4.	Запровадження моніторингу внутрішнього споживання деревини</w:t>
      </w:r>
    </w:p>
    <w:p>
      <w:pPr>
        <w:numPr>
          <w:ilvl w:val="0"/>
          <w:numId w:val="1"/>
        </w:numPr>
      </w:pPr>
      <w:r>
        <w:rPr/>
        <w:t xml:space="preserve">5.	Спрощення процедури надання водних об’єктів в користування через конкурентні та прозорі механізми</w:t>
      </w:r>
    </w:p>
    <w:p>
      <w:pPr/>
      <w:r>
        <w:rPr>
          <w:b w:val="1"/>
          <w:bCs w:val="1"/>
        </w:rPr>
        <w:t xml:space="preserve">2.2. Підціль 2 “Відкриття доступу до актуальної інформації про природні ресурси”</w:t>
      </w:r>
    </w:p>
    <w:p>
      <w:pPr/>
      <w:r>
        <w:rPr>
          <w:b w:val="1"/>
          <w:bCs w:val="1"/>
        </w:rPr>
        <w:t xml:space="preserve">Показники результативності: </w:t>
      </w:r>
    </w:p>
    <w:p>
      <w:pPr>
        <w:numPr>
          <w:ilvl w:val="0"/>
          <w:numId w:val="1"/>
        </w:numPr>
      </w:pPr>
      <w:r>
        <w:rPr/>
        <w:t xml:space="preserve">Збільшення кількості оцифрованих геологічних даних та викладення он-лайн на 20%</w:t>
      </w:r>
    </w:p>
    <w:p>
      <w:pPr>
        <w:numPr>
          <w:ilvl w:val="0"/>
          <w:numId w:val="1"/>
        </w:numPr>
      </w:pPr>
      <w:r>
        <w:rPr/>
        <w:t xml:space="preserve">Відкритість геологічних даних на 100%</w:t>
      </w:r>
    </w:p>
    <w:p>
      <w:pPr>
        <w:numPr>
          <w:ilvl w:val="0"/>
          <w:numId w:val="1"/>
        </w:numPr>
      </w:pPr>
      <w:r>
        <w:rPr/>
        <w:t xml:space="preserve">Поширення електронного обліку деревини на 100% лісокористувачів</w:t>
      </w:r>
    </w:p>
    <w:p>
      <w:pPr>
        <w:numPr>
          <w:ilvl w:val="0"/>
          <w:numId w:val="1"/>
        </w:numPr>
      </w:pPr>
      <w:r>
        <w:rPr/>
        <w:t xml:space="preserve">100% інвентаризації лісів за 5 років</w:t>
      </w:r>
    </w:p>
    <w:p>
      <w:pPr/>
      <w:r>
        <w:rPr>
          <w:b w:val="1"/>
          <w:bCs w:val="1"/>
        </w:rPr>
        <w:t xml:space="preserve">Завдання до підцілі 2: </w:t>
      </w:r>
    </w:p>
    <w:p>
      <w:pPr>
        <w:numPr>
          <w:ilvl w:val="0"/>
          <w:numId w:val="1"/>
        </w:numPr>
      </w:pPr>
      <w:r>
        <w:rPr/>
        <w:t xml:space="preserve">1.	Створення національного репозитарію геологічних даних, розвиток центру обробки даних для оцифрування геологічної інформації та підтримки бази знань, створення каталогу геологічної інформації, оцифрування геологічної інформації</w:t>
      </w:r>
    </w:p>
    <w:p>
      <w:pPr>
        <w:numPr>
          <w:ilvl w:val="0"/>
          <w:numId w:val="1"/>
        </w:numPr>
      </w:pPr>
      <w:r>
        <w:rPr/>
        <w:t xml:space="preserve">2.	Надання доступу до геологічної інформації, відкриття доступу до бази метаданих, створення інтерактивних dataroom</w:t>
      </w:r>
    </w:p>
    <w:p>
      <w:pPr>
        <w:numPr>
          <w:ilvl w:val="0"/>
          <w:numId w:val="1"/>
        </w:numPr>
      </w:pPr>
      <w:r>
        <w:rPr/>
        <w:t xml:space="preserve">3.	Забезпечення геологічного вивчення корисних копалин та нарощування мінерально-сировинної бази</w:t>
      </w:r>
    </w:p>
    <w:p>
      <w:pPr>
        <w:numPr>
          <w:ilvl w:val="0"/>
          <w:numId w:val="1"/>
        </w:numPr>
      </w:pPr>
      <w:r>
        <w:rPr/>
        <w:t xml:space="preserve">4.	Запровадження Єдиної державної системи електронного обліку деревини</w:t>
      </w:r>
    </w:p>
    <w:p>
      <w:pPr>
        <w:numPr>
          <w:ilvl w:val="0"/>
          <w:numId w:val="1"/>
        </w:numPr>
      </w:pPr>
      <w:r>
        <w:rPr/>
        <w:t xml:space="preserve">5.	Проведення інвентаризації лісів</w:t>
      </w:r>
    </w:p>
    <w:p>
      <w:pPr/>
      <w:r>
        <w:rPr>
          <w:b w:val="1"/>
          <w:bCs w:val="1"/>
        </w:rPr>
        <w:t xml:space="preserve">2.3. Підціль 3 “Забезпечення законного використання природних ресурсів”</w:t>
      </w:r>
    </w:p>
    <w:p>
      <w:pPr/>
      <w:r>
        <w:rPr>
          <w:b w:val="1"/>
          <w:bCs w:val="1"/>
        </w:rPr>
        <w:t xml:space="preserve">Показники результативності: </w:t>
      </w:r>
    </w:p>
    <w:p>
      <w:pPr>
        <w:numPr>
          <w:ilvl w:val="0"/>
          <w:numId w:val="1"/>
        </w:numPr>
      </w:pPr>
      <w:r>
        <w:rPr/>
        <w:t xml:space="preserve">100% рубок проводиться на підставі лісорубних квитків, виданих Держлісагентством в електронному форматі</w:t>
      </w:r>
    </w:p>
    <w:p>
      <w:pPr>
        <w:numPr>
          <w:ilvl w:val="0"/>
          <w:numId w:val="1"/>
        </w:numPr>
      </w:pPr>
      <w:r>
        <w:rPr/>
        <w:t xml:space="preserve">Протягом 2020 року до он-лайн порталу рубок приєднані всі області</w:t>
      </w:r>
    </w:p>
    <w:p>
      <w:pPr>
        <w:numPr>
          <w:ilvl w:val="0"/>
          <w:numId w:val="1"/>
        </w:numPr>
      </w:pPr>
      <w:r>
        <w:rPr/>
        <w:t xml:space="preserve">0%  незаконно заготовленої деревини купується</w:t>
      </w:r>
    </w:p>
    <w:p>
      <w:pPr>
        <w:numPr>
          <w:ilvl w:val="0"/>
          <w:numId w:val="1"/>
        </w:numPr>
      </w:pPr>
      <w:r>
        <w:rPr/>
        <w:t xml:space="preserve">Зменшення навантаження на одного працівника лісової охорони з 1000 га  до 600 га</w:t>
      </w:r>
    </w:p>
    <w:p>
      <w:pPr>
        <w:numPr>
          <w:ilvl w:val="0"/>
          <w:numId w:val="1"/>
        </w:numPr>
      </w:pPr>
      <w:r>
        <w:rPr/>
        <w:t xml:space="preserve">Законний обсяг виловленої риби в прісних водоймах зросте на 50%</w:t>
      </w:r>
    </w:p>
    <w:p>
      <w:pPr>
        <w:numPr>
          <w:ilvl w:val="0"/>
          <w:numId w:val="1"/>
        </w:numPr>
      </w:pPr>
      <w:r>
        <w:rPr/>
        <w:t xml:space="preserve">3,5  тис. суден флоту рибної промисловості підпадають під систему дистанційного моніторингу</w:t>
      </w:r>
    </w:p>
    <w:p>
      <w:pPr/>
      <w:r>
        <w:rPr>
          <w:b w:val="1"/>
          <w:bCs w:val="1"/>
        </w:rPr>
        <w:t xml:space="preserve">Завдання до підцілі 3: </w:t>
      </w:r>
    </w:p>
    <w:p>
      <w:pPr>
        <w:numPr>
          <w:ilvl w:val="0"/>
          <w:numId w:val="1"/>
        </w:numPr>
      </w:pPr>
      <w:r>
        <w:rPr/>
        <w:t xml:space="preserve">1.	Видача лісорубних квитків усім лісокористувачам Держлісагентством</w:t>
      </w:r>
    </w:p>
    <w:p>
      <w:pPr>
        <w:numPr>
          <w:ilvl w:val="0"/>
          <w:numId w:val="1"/>
        </w:numPr>
      </w:pPr>
      <w:r>
        <w:rPr/>
        <w:t xml:space="preserve">2.	Створення єдиного електронного лісового порталу, який передбачає он-лайн порталу рубок, видачу лісорубних квитків в електронному вигляді,  перевірку походження деревини, систему електронного обліку деревини, реєстр лісорубних квитків, проведення аукціонних торгів, реєстр сертифікатів походження деревини</w:t>
      </w:r>
    </w:p>
    <w:p>
      <w:pPr>
        <w:numPr>
          <w:ilvl w:val="0"/>
          <w:numId w:val="1"/>
        </w:numPr>
      </w:pPr>
      <w:r>
        <w:rPr/>
        <w:t xml:space="preserve">3.	Забезпечення відповідальності за незаконне використання природних ресурсів (запровадження відповідальності за купівлю незаконно заготовленої деревини  та підвищення відповідальності за порушення законодавства щодо охорони водних біоресурсів та середовища їх існування)</w:t>
      </w:r>
    </w:p>
    <w:p>
      <w:pPr>
        <w:numPr>
          <w:ilvl w:val="0"/>
          <w:numId w:val="1"/>
        </w:numPr>
      </w:pPr>
      <w:r>
        <w:rPr/>
        <w:t xml:space="preserve">4.	Збільшення чисельності працівників лісової охорони</w:t>
      </w:r>
    </w:p>
    <w:p>
      <w:pPr>
        <w:numPr>
          <w:ilvl w:val="0"/>
          <w:numId w:val="1"/>
        </w:numPr>
      </w:pPr>
      <w:r>
        <w:rPr/>
        <w:t xml:space="preserve">5.	Створення електронної системи управління рибною галуззю (E-Fish)</w:t>
      </w:r>
    </w:p>
    <w:p>
      <w:pPr>
        <w:numPr>
          <w:ilvl w:val="0"/>
          <w:numId w:val="1"/>
        </w:numPr>
      </w:pPr>
      <w:r>
        <w:rPr/>
        <w:t xml:space="preserve">6.	Запровадження системи простежуваності походження водних біоресурсів</w:t>
      </w:r>
    </w:p>
    <w:p>
      <w:pPr>
        <w:numPr>
          <w:ilvl w:val="0"/>
          <w:numId w:val="1"/>
        </w:numPr>
      </w:pPr>
      <w:r>
        <w:rPr/>
        <w:t xml:space="preserve">7.	Запровадження системи дистанційного моніторингу суден флоту рибної промисловості</w:t>
      </w:r>
    </w:p>
    <w:p>
      <w:pPr/>
      <w:r>
        <w:rPr>
          <w:b w:val="1"/>
          <w:bCs w:val="1"/>
        </w:rPr>
        <w:t xml:space="preserve">2.4. Підціль 4 “Забезпечення ефективних превентивних заходів з недопущення погіршення якості природних ресурсів”</w:t>
      </w:r>
    </w:p>
    <w:p>
      <w:pPr/>
      <w:r>
        <w:rPr>
          <w:b w:val="1"/>
          <w:bCs w:val="1"/>
        </w:rPr>
        <w:t xml:space="preserve">Показники результативності: </w:t>
      </w:r>
    </w:p>
    <w:p>
      <w:pPr>
        <w:numPr>
          <w:ilvl w:val="0"/>
          <w:numId w:val="1"/>
        </w:numPr>
      </w:pPr>
      <w:r>
        <w:rPr/>
        <w:t xml:space="preserve">Зменшення всихання площ лісових насаджень на 20%</w:t>
      </w:r>
    </w:p>
    <w:p>
      <w:pPr>
        <w:numPr>
          <w:ilvl w:val="0"/>
          <w:numId w:val="1"/>
        </w:numPr>
      </w:pPr>
      <w:r>
        <w:rPr/>
        <w:t xml:space="preserve">Система моніторингу підземних вод вибудована за басейновим принципом управління</w:t>
      </w:r>
    </w:p>
    <w:p>
      <w:pPr/>
      <w:r>
        <w:rPr>
          <w:b w:val="1"/>
          <w:bCs w:val="1"/>
        </w:rPr>
        <w:t xml:space="preserve">Завдання до підцілі 4: </w:t>
      </w:r>
    </w:p>
    <w:p>
      <w:pPr>
        <w:numPr>
          <w:ilvl w:val="0"/>
          <w:numId w:val="1"/>
        </w:numPr>
      </w:pPr>
      <w:r>
        <w:rPr/>
        <w:t xml:space="preserve">1.	Підвищення біологічної стійкості лісів</w:t>
      </w:r>
    </w:p>
    <w:p>
      <w:pPr>
        <w:numPr>
          <w:ilvl w:val="0"/>
          <w:numId w:val="1"/>
        </w:numPr>
      </w:pPr>
      <w:r>
        <w:rPr/>
        <w:t xml:space="preserve">2.	Створення нової системи моніторингу підземних вод та небезпечних геологічних процесів</w:t>
      </w:r>
    </w:p>
    <w:p>
      <w:pPr/>
      <w:r>
        <w:rPr>
          <w:b w:val="1"/>
          <w:bCs w:val="1"/>
        </w:rPr>
        <w:t xml:space="preserve">2.5. Підціль 5 “Забезпечення справляння реальної вартості за використання природних ресурсів”</w:t>
      </w:r>
    </w:p>
    <w:p>
      <w:pPr/>
      <w:r>
        <w:rPr>
          <w:b w:val="1"/>
          <w:bCs w:val="1"/>
        </w:rPr>
        <w:t xml:space="preserve">Показники результативності: </w:t>
      </w:r>
    </w:p>
    <w:p>
      <w:pPr>
        <w:numPr>
          <w:ilvl w:val="0"/>
          <w:numId w:val="1"/>
        </w:numPr>
      </w:pPr>
      <w:r>
        <w:rPr/>
        <w:t xml:space="preserve">Плату за спеціальне використання водних біоресурсів збільшено в 3 рази</w:t>
      </w:r>
    </w:p>
    <w:p>
      <w:pPr>
        <w:numPr>
          <w:ilvl w:val="0"/>
          <w:numId w:val="1"/>
        </w:numPr>
      </w:pPr>
      <w:r>
        <w:rPr/>
        <w:t xml:space="preserve">Дохід до бюджету зріс мінімум на 35 млн. Гривень за рахунок перерахунку розміру орендної плати за водні об’єкти</w:t>
      </w:r>
    </w:p>
    <w:p>
      <w:pPr>
        <w:numPr>
          <w:ilvl w:val="0"/>
          <w:numId w:val="1"/>
        </w:numPr>
      </w:pPr>
      <w:r>
        <w:rPr/>
        <w:t xml:space="preserve">«Сплячі» спеціальні дозволи на користування надрами скоротяться на 25%</w:t>
      </w:r>
    </w:p>
    <w:p>
      <w:pPr>
        <w:numPr>
          <w:ilvl w:val="0"/>
          <w:numId w:val="1"/>
        </w:numPr>
      </w:pPr>
      <w:r>
        <w:rPr/>
        <w:t xml:space="preserve">Доходи до бюджету зростуть на 200 млн. гривень за рахунок боротьби зі «сплячими» спеціальними дозволами на користування надрами</w:t>
      </w:r>
    </w:p>
    <w:p>
      <w:pPr/>
      <w:r>
        <w:rPr>
          <w:b w:val="1"/>
          <w:bCs w:val="1"/>
        </w:rPr>
        <w:t xml:space="preserve">Завдання до підцілі 5: </w:t>
      </w:r>
    </w:p>
    <w:p>
      <w:pPr>
        <w:numPr>
          <w:ilvl w:val="0"/>
          <w:numId w:val="1"/>
        </w:numPr>
      </w:pPr>
      <w:r>
        <w:rPr/>
        <w:t xml:space="preserve">1.	Збільшення плати за спеціальне використання водних біоресурсів</w:t>
      </w:r>
    </w:p>
    <w:p>
      <w:pPr>
        <w:numPr>
          <w:ilvl w:val="0"/>
          <w:numId w:val="1"/>
        </w:numPr>
      </w:pPr>
      <w:r>
        <w:rPr/>
        <w:t xml:space="preserve">2.	Проведення перерахунку розміру орендної плати за водні об’єкти</w:t>
      </w:r>
    </w:p>
    <w:p>
      <w:pPr>
        <w:numPr>
          <w:ilvl w:val="0"/>
          <w:numId w:val="1"/>
        </w:numPr>
      </w:pPr>
      <w:r>
        <w:rPr/>
        <w:t xml:space="preserve">3.	Боротьба зі "сплячими" спеціальними дозволами на користування надрами</w:t>
      </w:r>
    </w:p>
    <w:p>
      <w:pPr/>
      <w:r>
        <w:rPr>
          <w:b w:val="1"/>
          <w:bCs w:val="1"/>
        </w:rPr>
        <w:t xml:space="preserve">2.6. Підціль 6 “Забезпечення заходів з інтенсифікації видобутку корисних копалин”</w:t>
      </w:r>
    </w:p>
    <w:p>
      <w:pPr/>
      <w:r>
        <w:rPr>
          <w:b w:val="1"/>
          <w:bCs w:val="1"/>
        </w:rPr>
        <w:t xml:space="preserve">Показники результативності: </w:t>
      </w:r>
    </w:p>
    <w:p>
      <w:pPr>
        <w:numPr>
          <w:ilvl w:val="0"/>
          <w:numId w:val="1"/>
        </w:numPr>
      </w:pPr>
      <w:r>
        <w:rPr/>
        <w:t xml:space="preserve">Обсяг видобутку надр зріс на 20%</w:t>
      </w:r>
    </w:p>
    <w:p>
      <w:pPr/>
      <w:r>
        <w:rPr>
          <w:b w:val="1"/>
          <w:bCs w:val="1"/>
        </w:rPr>
        <w:t xml:space="preserve">Завдання до підцілі 6: </w:t>
      </w:r>
    </w:p>
    <w:p>
      <w:pPr>
        <w:numPr>
          <w:ilvl w:val="0"/>
          <w:numId w:val="1"/>
        </w:numPr>
      </w:pPr>
      <w:r>
        <w:rPr/>
        <w:t xml:space="preserve">1.	Стимулювання буріння нових свердловин з метою видобутку вуглеводнів</w:t>
      </w:r>
    </w:p>
    <w:p>
      <w:pPr>
        <w:numPr>
          <w:ilvl w:val="0"/>
          <w:numId w:val="1"/>
        </w:numPr>
      </w:pPr>
      <w:r>
        <w:rPr/>
        <w:t xml:space="preserve">2.	Стимулювання розробки покладів способом, який відрізняється від звичайного або традиційного (нетрадиційних покладів)</w:t>
      </w:r>
    </w:p>
    <w:p>
      <w:pPr>
        <w:numPr>
          <w:ilvl w:val="0"/>
          <w:numId w:val="1"/>
        </w:numPr>
      </w:pPr>
      <w:r>
        <w:rPr/>
        <w:t xml:space="preserve">3.	Застосування новітніх технологій на старих родовищах та сучасних методів інтенсифікації видобутку</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Запровадження конкурентного та прозорого способу отримання права на користування всіма видами надр, правил торгівлі деревиною</w:t>
            </w:r>
          </w:p>
        </w:tc>
        <w:tc>
          <w:tcPr>
            <w:vAlign w:val="center"/>
            <w:vMerge w:val="restart"/>
          </w:tcPr>
          <w:p>
            <w:pPr>
              <w:jc w:val="center"/>
            </w:pPr>
            <w:r>
              <w:rPr>
                <w:sz w:val="20"/>
                <w:szCs w:val="20"/>
              </w:rPr>
              <w:t xml:space="preserve">1.	Створення електронного кабінету надрокористувача</w:t>
            </w:r>
          </w:p>
        </w:tc>
        <w:tc>
          <w:tcPr>
            <w:vAlign w:val="center"/>
          </w:tcPr>
          <w:p>
            <w:pPr>
              <w:jc w:val="center"/>
            </w:pPr>
            <w:r>
              <w:rPr>
                <w:sz w:val="20"/>
                <w:szCs w:val="20"/>
              </w:rPr>
              <w:t xml:space="preserve">1. Розробка програмного забезпечення, його тестування та впровадження: 1-етап (дозвільна система)</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Держгеонадра</w:t>
            </w:r>
          </w:p>
        </w:tc>
      </w:tr>
      <w:tr>
        <w:trPr/>
        <w:tc>
          <w:tcPr>
            <w:vMerge w:val="continue"/>
          </w:tcPr>
          <w:p/>
        </w:tc>
        <w:tc>
          <w:tcPr>
            <w:vMerge w:val="continue"/>
          </w:tcPr>
          <w:p/>
        </w:tc>
        <w:tc>
          <w:tcPr>
            <w:vAlign w:val="center"/>
          </w:tcPr>
          <w:p>
            <w:pPr>
              <w:jc w:val="center"/>
            </w:pPr>
            <w:r>
              <w:rPr>
                <w:sz w:val="20"/>
                <w:szCs w:val="20"/>
              </w:rPr>
              <w:t xml:space="preserve">2. Розробка програмного забезпечення, його тестування та впровадження:2-етап (звітність)</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Держгеонадра</w:t>
            </w:r>
          </w:p>
        </w:tc>
      </w:tr>
      <w:tr>
        <w:trPr/>
        <w:tc>
          <w:tcPr>
            <w:vMerge w:val="continue"/>
          </w:tcPr>
          <w:p/>
        </w:tc>
        <w:tc>
          <w:tcPr>
            <w:vAlign w:val="center"/>
            <w:vMerge w:val="restart"/>
          </w:tcPr>
          <w:p>
            <w:pPr>
              <w:jc w:val="center"/>
            </w:pPr>
            <w:r>
              <w:rPr>
                <w:sz w:val="20"/>
                <w:szCs w:val="20"/>
              </w:rPr>
              <w:t xml:space="preserve">2.	Розповсюдження конкурентних способів видачі дозволів на всі надра</w:t>
            </w:r>
          </w:p>
        </w:tc>
        <w:tc>
          <w:tcPr>
            <w:vAlign w:val="center"/>
          </w:tcPr>
          <w:p>
            <w:pPr>
              <w:jc w:val="center"/>
            </w:pPr>
            <w:r>
              <w:rPr>
                <w:sz w:val="20"/>
                <w:szCs w:val="20"/>
              </w:rPr>
              <w:t xml:space="preserve">1. Підготовка і внесення на розгляд Верховної Ради України проекту Закону України про внесення змін до Кодексу України про надра щодо проведення електронних торгів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Розробка та внесення на розгляд Кабінету Міністрів України проекту постанови про внесення змін до порядку надання спеціальних дозволів на користування надрами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Держгеонадра</w:t>
            </w:r>
          </w:p>
        </w:tc>
      </w:tr>
      <w:tr>
        <w:trPr/>
        <w:tc>
          <w:tcPr>
            <w:vMerge w:val="continue"/>
          </w:tcPr>
          <w:p/>
        </w:tc>
        <w:tc>
          <w:tcPr>
            <w:vMerge w:val="continue"/>
          </w:tcPr>
          <w:p/>
        </w:tc>
        <w:tc>
          <w:tcPr>
            <w:vAlign w:val="center"/>
          </w:tcPr>
          <w:p>
            <w:pPr>
              <w:jc w:val="center"/>
            </w:pPr>
            <w:r>
              <w:rPr>
                <w:sz w:val="20"/>
                <w:szCs w:val="20"/>
              </w:rPr>
              <w:t xml:space="preserve">3. Підготовка лотів та проведення відкритих, конкурентних та якісно підготовлених аукціонів та конкурсів на право користування надрами на державному та місцевому рівні  (Відбір ділянок, підготовка аукціонної чи конкурсної документації, оцінка початкової вартості лоту та геологічної інформації на не менше 100 спеціальних дозволів)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Держгеонадра</w:t>
            </w:r>
          </w:p>
        </w:tc>
      </w:tr>
      <w:tr>
        <w:trPr/>
        <w:tc>
          <w:tcPr>
            <w:vMerge w:val="continue"/>
          </w:tcPr>
          <w:p/>
        </w:tc>
        <w:tc>
          <w:tcPr>
            <w:vAlign w:val="center"/>
            <w:vMerge w:val="restart"/>
          </w:tcPr>
          <w:p>
            <w:pPr>
              <w:jc w:val="center"/>
            </w:pPr>
            <w:r>
              <w:rPr>
                <w:sz w:val="20"/>
                <w:szCs w:val="20"/>
              </w:rPr>
              <w:t xml:space="preserve">3.	Розробка та прийняття прозорих та рівних правил торгівлі деревиною, а також її продажу на електронних торгах</w:t>
            </w:r>
          </w:p>
        </w:tc>
        <w:tc>
          <w:tcPr>
            <w:vAlign w:val="center"/>
          </w:tcPr>
          <w:p>
            <w:pPr>
              <w:jc w:val="center"/>
            </w:pPr>
            <w:r>
              <w:rPr>
                <w:sz w:val="20"/>
                <w:szCs w:val="20"/>
              </w:rPr>
              <w:t xml:space="preserve">1. Підготовка і внесення на розгляд Верховної Ради України проекту Закону України щодо ринку деревини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Підготовка і внесення на розгляд Кабінету Міністрів України проекту постанови щодо порядку продажу деревини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Держлісагентство</w:t>
            </w:r>
          </w:p>
        </w:tc>
      </w:tr>
      <w:tr>
        <w:trPr/>
        <w:tc>
          <w:tcPr>
            <w:vMerge w:val="continue"/>
          </w:tcPr>
          <w:p/>
        </w:tc>
        <w:tc>
          <w:tcPr>
            <w:vMerge w:val="continue"/>
          </w:tcPr>
          <w:p/>
        </w:tc>
        <w:tc>
          <w:tcPr>
            <w:vAlign w:val="center"/>
          </w:tcPr>
          <w:p>
            <w:pPr>
              <w:jc w:val="center"/>
            </w:pPr>
            <w:r>
              <w:rPr>
                <w:sz w:val="20"/>
                <w:szCs w:val="20"/>
              </w:rPr>
              <w:t xml:space="preserve">3. Забезпечити адміністративно-організаційні дії щодо впровадження торгівлі деревиною на конкурсних засадах (внесення інформації про проведення торгів на он-лайн ресурс; організація торгів і проведення торгів)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Держлісагентство</w:t>
            </w:r>
          </w:p>
        </w:tc>
      </w:tr>
      <w:tr>
        <w:trPr/>
        <w:tc>
          <w:tcPr>
            <w:vMerge w:val="continue"/>
          </w:tcPr>
          <w:p/>
        </w:tc>
        <w:tc>
          <w:tcPr>
            <w:vAlign w:val="center"/>
            <w:vMerge w:val="restart"/>
          </w:tcPr>
          <w:p>
            <w:pPr>
              <w:jc w:val="center"/>
            </w:pPr>
            <w:r>
              <w:rPr>
                <w:sz w:val="20"/>
                <w:szCs w:val="20"/>
              </w:rPr>
              <w:t xml:space="preserve">4.	Запровадження моніторингу внутрішнього споживання деревини</w:t>
            </w:r>
          </w:p>
        </w:tc>
        <w:tc>
          <w:tcPr>
            <w:vAlign w:val="center"/>
          </w:tcPr>
          <w:p>
            <w:pPr>
              <w:jc w:val="center"/>
            </w:pPr>
            <w:r>
              <w:rPr>
                <w:sz w:val="20"/>
                <w:szCs w:val="20"/>
              </w:rPr>
              <w:t xml:space="preserve">1. Підготовка і внесення на розгляд Кабінету Міністрів України проекту постанови щодо порядку проведення моніторингу внутрішнього споживання вітчизняних лісоматеріалів необроблених і контролю за неперевищенням обсягу внутрішнього споживання вітчизняних лісоматеріалів необроблених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Мінекоенерго; Держлісагентство</w:t>
            </w:r>
          </w:p>
        </w:tc>
      </w:tr>
      <w:tr>
        <w:trPr/>
        <w:tc>
          <w:tcPr>
            <w:vMerge w:val="continue"/>
          </w:tcPr>
          <w:p/>
        </w:tc>
        <w:tc>
          <w:tcPr>
            <w:vAlign w:val="center"/>
            <w:vMerge w:val="restart"/>
          </w:tcPr>
          <w:p>
            <w:pPr>
              <w:jc w:val="center"/>
            </w:pPr>
            <w:r>
              <w:rPr>
                <w:sz w:val="20"/>
                <w:szCs w:val="20"/>
              </w:rPr>
              <w:t xml:space="preserve">5.	Спрощення процедури надання водних об’єктів в користування через конкурентні та прозорі механізми</w:t>
            </w:r>
          </w:p>
        </w:tc>
        <w:tc>
          <w:tcPr>
            <w:vAlign w:val="center"/>
          </w:tcPr>
          <w:p>
            <w:pPr>
              <w:jc w:val="center"/>
            </w:pPr>
            <w:r>
              <w:rPr>
                <w:sz w:val="20"/>
                <w:szCs w:val="20"/>
              </w:rPr>
              <w:t xml:space="preserve">1. Підготовка і внесення на розгляд Верховної Ради України проекту Закону України щодо уточнення порядку передачі в оренду водних об'єктів у комплексі з земельними ділянками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Розробка та внесення на розгляд Кабінету Міністрів України проекту постанови Кабінету Міністрів України щодо типового договору оренди землі в комплексі з розташованим на ній водним об’єктом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Мінекоенерго; Держводагентство</w:t>
            </w:r>
          </w:p>
        </w:tc>
      </w:tr>
      <w:tr>
        <w:trPr/>
        <w:tc>
          <w:tcPr>
            <w:vAlign w:val="center"/>
            <w:vMerge w:val="restart"/>
          </w:tcPr>
          <w:p>
            <w:pPr>
              <w:jc w:val="center"/>
            </w:pPr>
            <w:r>
              <w:rPr>
                <w:sz w:val="20"/>
                <w:szCs w:val="20"/>
              </w:rPr>
              <w:t xml:space="preserve">Відкриття доступу до актуальної інформації про природні ресурси</w:t>
            </w:r>
          </w:p>
        </w:tc>
        <w:tc>
          <w:tcPr>
            <w:vAlign w:val="center"/>
            <w:vMerge w:val="restart"/>
          </w:tcPr>
          <w:p>
            <w:pPr>
              <w:jc w:val="center"/>
            </w:pPr>
            <w:r>
              <w:rPr>
                <w:sz w:val="20"/>
                <w:szCs w:val="20"/>
              </w:rPr>
              <w:t xml:space="preserve">1.	Створення національного репозитарію геологічних даних, розвиток центру обробки даних для оцифрування геологічної інформації та підтримки бази знань, створення каталогу геологічної інформації, оцифрування геологічної інформації</w:t>
            </w:r>
          </w:p>
        </w:tc>
        <w:tc>
          <w:tcPr>
            <w:vAlign w:val="center"/>
          </w:tcPr>
          <w:p>
            <w:pPr>
              <w:jc w:val="center"/>
            </w:pPr>
            <w:r>
              <w:rPr>
                <w:sz w:val="20"/>
                <w:szCs w:val="20"/>
              </w:rPr>
              <w:t xml:space="preserve">1. Створення фізичного сховища геологічних матеріалів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Держгеонадра</w:t>
            </w:r>
          </w:p>
        </w:tc>
      </w:tr>
      <w:tr>
        <w:trPr/>
        <w:tc>
          <w:tcPr>
            <w:vMerge w:val="continue"/>
          </w:tcPr>
          <w:p/>
        </w:tc>
        <w:tc>
          <w:tcPr>
            <w:vMerge w:val="continue"/>
          </w:tcPr>
          <w:p/>
        </w:tc>
        <w:tc>
          <w:tcPr>
            <w:vAlign w:val="center"/>
          </w:tcPr>
          <w:p>
            <w:pPr>
              <w:jc w:val="center"/>
            </w:pPr>
            <w:r>
              <w:rPr>
                <w:sz w:val="20"/>
                <w:szCs w:val="20"/>
              </w:rPr>
              <w:t xml:space="preserve">2. Створення програмного забезпечення для зберігання даних у електронному форматі, наповнення сховища геологічними матеріалами та геологічними даними у цифровому форматі</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Держгеонадра</w:t>
            </w:r>
          </w:p>
        </w:tc>
      </w:tr>
      <w:tr>
        <w:trPr/>
        <w:tc>
          <w:tcPr>
            <w:vMerge w:val="continue"/>
          </w:tcPr>
          <w:p/>
        </w:tc>
        <w:tc>
          <w:tcPr>
            <w:vMerge w:val="continue"/>
          </w:tcPr>
          <w:p/>
        </w:tc>
        <w:tc>
          <w:tcPr>
            <w:vAlign w:val="center"/>
          </w:tcPr>
          <w:p>
            <w:pPr>
              <w:jc w:val="center"/>
            </w:pPr>
            <w:r>
              <w:rPr>
                <w:sz w:val="20"/>
                <w:szCs w:val="20"/>
              </w:rPr>
              <w:t xml:space="preserve">3. Забезпечення безперебійного  функціонування центру обробки даних та оцифрування геологічної інформації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Держгеонадра</w:t>
            </w:r>
          </w:p>
        </w:tc>
      </w:tr>
      <w:tr>
        <w:trPr/>
        <w:tc>
          <w:tcPr>
            <w:vMerge w:val="continue"/>
          </w:tcPr>
          <w:p/>
        </w:tc>
        <w:tc>
          <w:tcPr>
            <w:vMerge w:val="continue"/>
          </w:tcPr>
          <w:p/>
        </w:tc>
        <w:tc>
          <w:tcPr>
            <w:vAlign w:val="center"/>
          </w:tcPr>
          <w:p>
            <w:pPr>
              <w:jc w:val="center"/>
            </w:pPr>
            <w:r>
              <w:rPr>
                <w:sz w:val="20"/>
                <w:szCs w:val="20"/>
              </w:rPr>
              <w:t xml:space="preserve">4. Створення каталогу геоінформації, відцифрування актуальної геоінформації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Держгеонадра</w:t>
            </w:r>
          </w:p>
        </w:tc>
      </w:tr>
      <w:tr>
        <w:trPr/>
        <w:tc>
          <w:tcPr>
            <w:vMerge w:val="continue"/>
          </w:tcPr>
          <w:p/>
        </w:tc>
        <w:tc>
          <w:tcPr>
            <w:vAlign w:val="center"/>
            <w:vMerge w:val="restart"/>
          </w:tcPr>
          <w:p>
            <w:pPr>
              <w:jc w:val="center"/>
            </w:pPr>
            <w:r>
              <w:rPr>
                <w:sz w:val="20"/>
                <w:szCs w:val="20"/>
              </w:rPr>
              <w:t xml:space="preserve">2.	Надання доступу до геологічної інформації, відкриття доступу до бази метаданих, створення інтерактивних dataroom</w:t>
            </w:r>
          </w:p>
        </w:tc>
        <w:tc>
          <w:tcPr>
            <w:vAlign w:val="center"/>
          </w:tcPr>
          <w:p>
            <w:pPr>
              <w:jc w:val="center"/>
            </w:pPr>
            <w:r>
              <w:rPr>
                <w:sz w:val="20"/>
                <w:szCs w:val="20"/>
              </w:rPr>
              <w:t xml:space="preserve">1. Розробка та внесення на розгляд КМУ проекту постанови КМУ про внесення змін до порядку розпорядження геологічною інформацією</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 Держгеонадра</w:t>
            </w:r>
          </w:p>
        </w:tc>
      </w:tr>
      <w:tr>
        <w:trPr/>
        <w:tc>
          <w:tcPr>
            <w:vMerge w:val="continue"/>
          </w:tcPr>
          <w:p/>
        </w:tc>
        <w:tc>
          <w:tcPr>
            <w:vMerge w:val="continue"/>
          </w:tcPr>
          <w:p/>
        </w:tc>
        <w:tc>
          <w:tcPr>
            <w:vAlign w:val="center"/>
          </w:tcPr>
          <w:p>
            <w:pPr>
              <w:jc w:val="center"/>
            </w:pPr>
            <w:r>
              <w:rPr>
                <w:sz w:val="20"/>
                <w:szCs w:val="20"/>
              </w:rPr>
              <w:t xml:space="preserve">2. Створення віртуальних dataroom для доступу до відцифрованих геологічних даних та інформації (1-етап: створення фізичних dataroom для поточних конкурсів УРП в 2019 році)</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30-11-2019</w:t>
            </w:r>
          </w:p>
        </w:tc>
        <w:tc>
          <w:tcPr>
            <w:vAlign w:val="center"/>
          </w:tcPr>
          <w:p>
            <w:pPr>
              <w:jc w:val="center"/>
            </w:pPr>
            <w:r>
              <w:rPr>
                <w:sz w:val="20"/>
                <w:szCs w:val="20"/>
              </w:rPr>
              <w:t xml:space="preserve">Держгеонадра</w:t>
            </w:r>
          </w:p>
        </w:tc>
      </w:tr>
      <w:tr>
        <w:trPr/>
        <w:tc>
          <w:tcPr>
            <w:vMerge w:val="continue"/>
          </w:tcPr>
          <w:p/>
        </w:tc>
        <w:tc>
          <w:tcPr>
            <w:vMerge w:val="continue"/>
          </w:tcPr>
          <w:p/>
        </w:tc>
        <w:tc>
          <w:tcPr>
            <w:vAlign w:val="center"/>
          </w:tcPr>
          <w:p>
            <w:pPr>
              <w:jc w:val="center"/>
            </w:pPr>
            <w:r>
              <w:rPr>
                <w:sz w:val="20"/>
                <w:szCs w:val="20"/>
              </w:rPr>
              <w:t xml:space="preserve">3. Створення віртуальних dataroom для доступу до відцифрованих геологічних даних та інформації (2-етап: створення віртуальних dataroom для майбутніх аукціонів та конкурсів)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Держгеонадра</w:t>
            </w:r>
          </w:p>
        </w:tc>
      </w:tr>
      <w:tr>
        <w:trPr/>
        <w:tc>
          <w:tcPr>
            <w:vMerge w:val="continue"/>
          </w:tcPr>
          <w:p/>
        </w:tc>
        <w:tc>
          <w:tcPr>
            <w:vMerge w:val="continue"/>
          </w:tcPr>
          <w:p/>
        </w:tc>
        <w:tc>
          <w:tcPr>
            <w:vAlign w:val="center"/>
          </w:tcPr>
          <w:p>
            <w:pPr>
              <w:jc w:val="center"/>
            </w:pPr>
            <w:r>
              <w:rPr>
                <w:sz w:val="20"/>
                <w:szCs w:val="20"/>
              </w:rPr>
              <w:t xml:space="preserve">4. Забезпечення ознайомлення потенційних інвесторів з наявними геологічними даними та інформацію через її зібрання в спеціально створених фізичних та віртуальних dataroom</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Держгеонадра</w:t>
            </w:r>
          </w:p>
        </w:tc>
      </w:tr>
      <w:tr>
        <w:trPr/>
        <w:tc>
          <w:tcPr>
            <w:vMerge w:val="continue"/>
          </w:tcPr>
          <w:p/>
        </w:tc>
        <w:tc>
          <w:tcPr>
            <w:vAlign w:val="center"/>
            <w:vMerge w:val="restart"/>
          </w:tcPr>
          <w:p>
            <w:pPr>
              <w:jc w:val="center"/>
            </w:pPr>
            <w:r>
              <w:rPr>
                <w:sz w:val="20"/>
                <w:szCs w:val="20"/>
              </w:rPr>
              <w:t xml:space="preserve">3.	Забезпечення геологічного вивчення корисних копалин та нарощування мінерально-сировинної бази</w:t>
            </w:r>
          </w:p>
        </w:tc>
        <w:tc>
          <w:tcPr>
            <w:vAlign w:val="center"/>
          </w:tcPr>
          <w:p>
            <w:pPr>
              <w:jc w:val="center"/>
            </w:pPr>
            <w:r>
              <w:rPr>
                <w:sz w:val="20"/>
                <w:szCs w:val="20"/>
              </w:rPr>
              <w:t xml:space="preserve">1.Забезпечення збільшення видатків на проведення геологорозвідувальних робіт</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Align w:val="center"/>
            <w:vMerge w:val="restart"/>
          </w:tcPr>
          <w:p>
            <w:pPr>
              <w:jc w:val="center"/>
            </w:pPr>
            <w:r>
              <w:rPr>
                <w:sz w:val="20"/>
                <w:szCs w:val="20"/>
              </w:rPr>
              <w:t xml:space="preserve">4.	Запровадження Єдиної державної системи електронного обліку деревини</w:t>
            </w:r>
          </w:p>
        </w:tc>
        <w:tc>
          <w:tcPr>
            <w:vAlign w:val="center"/>
          </w:tcPr>
          <w:p>
            <w:pPr>
              <w:jc w:val="center"/>
            </w:pPr>
            <w:r>
              <w:rPr>
                <w:sz w:val="20"/>
                <w:szCs w:val="20"/>
              </w:rPr>
              <w:t xml:space="preserve">1. Розробити та внести на розгляд ВРУ проекту Закону України щодо впровадження електронного обліку деревини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Провести інформаційно-комунікаційну компанію щодо ефективності діяльності систем електронного обліку деревини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Держлісагентство</w:t>
            </w:r>
          </w:p>
        </w:tc>
      </w:tr>
      <w:tr>
        <w:trPr/>
        <w:tc>
          <w:tcPr>
            <w:vMerge w:val="continue"/>
          </w:tcPr>
          <w:p/>
        </w:tc>
        <w:tc>
          <w:tcPr>
            <w:vAlign w:val="center"/>
            <w:vMerge w:val="restart"/>
          </w:tcPr>
          <w:p>
            <w:pPr>
              <w:jc w:val="center"/>
            </w:pPr>
            <w:r>
              <w:rPr>
                <w:sz w:val="20"/>
                <w:szCs w:val="20"/>
              </w:rPr>
              <w:t xml:space="preserve">5.	Проведення інвентаризації лісів</w:t>
            </w:r>
          </w:p>
        </w:tc>
        <w:tc>
          <w:tcPr>
            <w:vAlign w:val="center"/>
          </w:tcPr>
          <w:p>
            <w:pPr>
              <w:jc w:val="center"/>
            </w:pPr>
            <w:r>
              <w:rPr>
                <w:sz w:val="20"/>
                <w:szCs w:val="20"/>
              </w:rPr>
              <w:t xml:space="preserve">1. Розробити та внести на розгляд ВРУ проекту Закону України щодо національної інвентаризації лісів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Розробити та внести на розгляд КМУ проект постанови КМУ щодо порядку інвентаризації лісів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 Держлісагентство</w:t>
            </w:r>
          </w:p>
        </w:tc>
      </w:tr>
      <w:tr>
        <w:trPr/>
        <w:tc>
          <w:tcPr>
            <w:vMerge w:val="continue"/>
          </w:tcPr>
          <w:p/>
        </w:tc>
        <w:tc>
          <w:tcPr>
            <w:vMerge w:val="continue"/>
          </w:tcPr>
          <w:p/>
        </w:tc>
        <w:tc>
          <w:tcPr>
            <w:vAlign w:val="center"/>
          </w:tcPr>
          <w:p>
            <w:pPr>
              <w:jc w:val="center"/>
            </w:pPr>
            <w:r>
              <w:rPr>
                <w:sz w:val="20"/>
                <w:szCs w:val="20"/>
              </w:rPr>
              <w:t xml:space="preserve">3. Розробити та затвердити наказ Мінекоенерго про затвердження методики проведення інвентаризації лісів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 Держлісагентство</w:t>
            </w:r>
          </w:p>
        </w:tc>
      </w:tr>
      <w:tr>
        <w:trPr/>
        <w:tc>
          <w:tcPr>
            <w:vMerge w:val="continue"/>
          </w:tcPr>
          <w:p/>
        </w:tc>
        <w:tc>
          <w:tcPr>
            <w:vMerge w:val="continue"/>
          </w:tcPr>
          <w:p/>
        </w:tc>
        <w:tc>
          <w:tcPr>
            <w:vAlign w:val="center"/>
          </w:tcPr>
          <w:p>
            <w:pPr>
              <w:jc w:val="center"/>
            </w:pPr>
            <w:r>
              <w:rPr>
                <w:sz w:val="20"/>
                <w:szCs w:val="20"/>
              </w:rPr>
              <w:t xml:space="preserve">4. Забезпечити фінансову підтримку проведення інвентаризації лісів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30-09-2023</w:t>
            </w:r>
          </w:p>
        </w:tc>
        <w:tc>
          <w:tcPr>
            <w:vAlign w:val="center"/>
          </w:tcPr>
          <w:p>
            <w:pPr>
              <w:jc w:val="center"/>
            </w:pPr>
            <w:r>
              <w:rPr>
                <w:sz w:val="20"/>
                <w:szCs w:val="20"/>
              </w:rPr>
              <w:t xml:space="preserve">Мінекоенерго; Держлісагентство</w:t>
            </w:r>
          </w:p>
        </w:tc>
      </w:tr>
      <w:tr>
        <w:trPr/>
        <w:tc>
          <w:tcPr>
            <w:vMerge w:val="continue"/>
          </w:tcPr>
          <w:p/>
        </w:tc>
        <w:tc>
          <w:tcPr>
            <w:vMerge w:val="continue"/>
          </w:tcPr>
          <w:p/>
        </w:tc>
        <w:tc>
          <w:tcPr>
            <w:vAlign w:val="center"/>
          </w:tcPr>
          <w:p>
            <w:pPr>
              <w:jc w:val="center"/>
            </w:pPr>
            <w:r>
              <w:rPr>
                <w:sz w:val="20"/>
                <w:szCs w:val="20"/>
              </w:rPr>
              <w:t xml:space="preserve">5. Здійснення дій щодо проведення національної інвентаризації (проведення аерофотозйомки, оцифровування інформації, обробка даних)</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30-09-2023</w:t>
            </w:r>
          </w:p>
        </w:tc>
        <w:tc>
          <w:tcPr>
            <w:vAlign w:val="center"/>
          </w:tcPr>
          <w:p>
            <w:pPr>
              <w:jc w:val="center"/>
            </w:pPr>
            <w:r>
              <w:rPr>
                <w:sz w:val="20"/>
                <w:szCs w:val="20"/>
              </w:rPr>
              <w:t xml:space="preserve">Держлісагентство</w:t>
            </w:r>
          </w:p>
        </w:tc>
      </w:tr>
      <w:tr>
        <w:trPr/>
        <w:tc>
          <w:tcPr>
            <w:vAlign w:val="center"/>
            <w:vMerge w:val="restart"/>
          </w:tcPr>
          <w:p>
            <w:pPr>
              <w:jc w:val="center"/>
            </w:pPr>
            <w:r>
              <w:rPr>
                <w:sz w:val="20"/>
                <w:szCs w:val="20"/>
              </w:rPr>
              <w:t xml:space="preserve">Забезпечення законного використання природних ресурсів</w:t>
            </w:r>
          </w:p>
        </w:tc>
        <w:tc>
          <w:tcPr>
            <w:vAlign w:val="center"/>
            <w:vMerge w:val="restart"/>
          </w:tcPr>
          <w:p>
            <w:pPr>
              <w:jc w:val="center"/>
            </w:pPr>
            <w:r>
              <w:rPr>
                <w:sz w:val="20"/>
                <w:szCs w:val="20"/>
              </w:rPr>
              <w:t xml:space="preserve">1.	Видача лісорубних квитків усім лісокористувачам Держлісагентством</w:t>
            </w:r>
          </w:p>
        </w:tc>
        <w:tc>
          <w:tcPr>
            <w:vAlign w:val="center"/>
          </w:tcPr>
          <w:p>
            <w:pPr>
              <w:jc w:val="center"/>
            </w:pPr>
            <w:r>
              <w:rPr>
                <w:sz w:val="20"/>
                <w:szCs w:val="20"/>
              </w:rPr>
              <w:t xml:space="preserve">1. Розробити та внести на розгляд ВРУ проекту Закону України щодо покладення повноважень на Держлісагентство з видачі лісорубних квитків усім користувачам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Розробити та внести на розгляд КМУ проекту постанови КМУ щодо порядку видачі лісорубних квитків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Держлісагентство</w:t>
            </w:r>
          </w:p>
        </w:tc>
      </w:tr>
      <w:tr>
        <w:trPr/>
        <w:tc>
          <w:tcPr>
            <w:vMerge w:val="continue"/>
          </w:tcPr>
          <w:p/>
        </w:tc>
        <w:tc>
          <w:tcPr>
            <w:vAlign w:val="center"/>
            <w:vMerge w:val="restart"/>
          </w:tcPr>
          <w:p>
            <w:pPr>
              <w:jc w:val="center"/>
            </w:pPr>
            <w:r>
              <w:rPr>
                <w:sz w:val="20"/>
                <w:szCs w:val="20"/>
              </w:rPr>
              <w:t xml:space="preserve">2.	Створення єдиного електронного лісового порталу, який передбачає он-лайн порталу рубок, видачу лісорубних квитків в електронному вигляді,  перевірку походження деревини, систему електронного обліку деревини, реєстр лісорубних квитків, проведення аукціонних торгів, реєстр сертифікатів походження деревини</w:t>
            </w:r>
          </w:p>
        </w:tc>
        <w:tc>
          <w:tcPr>
            <w:vAlign w:val="center"/>
          </w:tcPr>
          <w:p>
            <w:pPr>
              <w:jc w:val="center"/>
            </w:pPr>
            <w:r>
              <w:rPr>
                <w:sz w:val="20"/>
                <w:szCs w:val="20"/>
              </w:rPr>
              <w:t xml:space="preserve">1. Підготовка та затвердження  Мінекоенерго наказу про функціонування лісового порталу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Держлісагентство</w:t>
            </w:r>
          </w:p>
        </w:tc>
      </w:tr>
      <w:tr>
        <w:trPr/>
        <w:tc>
          <w:tcPr>
            <w:vMerge w:val="continue"/>
          </w:tcPr>
          <w:p/>
        </w:tc>
        <w:tc>
          <w:tcPr>
            <w:vMerge w:val="continue"/>
          </w:tcPr>
          <w:p/>
        </w:tc>
        <w:tc>
          <w:tcPr>
            <w:vAlign w:val="center"/>
          </w:tcPr>
          <w:p>
            <w:pPr>
              <w:jc w:val="center"/>
            </w:pPr>
            <w:r>
              <w:rPr>
                <w:sz w:val="20"/>
                <w:szCs w:val="20"/>
              </w:rPr>
              <w:t xml:space="preserve">2. Запуск єдиного електронного лісового порталу (забезпечення фінансування створення порталу, внесення даних)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Держлісагентство</w:t>
            </w:r>
          </w:p>
        </w:tc>
      </w:tr>
      <w:tr>
        <w:trPr/>
        <w:tc>
          <w:tcPr>
            <w:vMerge w:val="continue"/>
          </w:tcPr>
          <w:p/>
        </w:tc>
        <w:tc>
          <w:tcPr>
            <w:vMerge w:val="continue"/>
          </w:tcPr>
          <w:p/>
        </w:tc>
        <w:tc>
          <w:tcPr>
            <w:vAlign w:val="center"/>
          </w:tcPr>
          <w:p>
            <w:pPr>
              <w:jc w:val="center"/>
            </w:pPr>
            <w:r>
              <w:rPr>
                <w:sz w:val="20"/>
                <w:szCs w:val="20"/>
              </w:rPr>
              <w:t xml:space="preserve">3. Проведення інформаційно-комунікаційної роботи щодо функціонування електронного лісового порталу (публікація матеріалів, проведення круглих столів, тощо)</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Держлісагентство</w:t>
            </w:r>
          </w:p>
        </w:tc>
      </w:tr>
      <w:tr>
        <w:trPr/>
        <w:tc>
          <w:tcPr>
            <w:vMerge w:val="continue"/>
          </w:tcPr>
          <w:p/>
        </w:tc>
        <w:tc>
          <w:tcPr>
            <w:vAlign w:val="center"/>
            <w:vMerge w:val="restart"/>
          </w:tcPr>
          <w:p>
            <w:pPr>
              <w:jc w:val="center"/>
            </w:pPr>
            <w:r>
              <w:rPr>
                <w:sz w:val="20"/>
                <w:szCs w:val="20"/>
              </w:rPr>
              <w:t xml:space="preserve">3.	Забезпечення відповідальності за незаконне використання природних ресурсів (запровадження відповідальності за купівлю незаконно заготовленої деревини  та підвищення відповідальності за порушення законодавства щодо охорони водних біоресурсів та середовища їх існування)</w:t>
            </w:r>
          </w:p>
        </w:tc>
        <w:tc>
          <w:tcPr>
            <w:vAlign w:val="center"/>
          </w:tcPr>
          <w:p>
            <w:pPr>
              <w:jc w:val="center"/>
            </w:pPr>
            <w:r>
              <w:rPr>
                <w:sz w:val="20"/>
                <w:szCs w:val="20"/>
              </w:rPr>
              <w:t xml:space="preserve">1. Розробити та внести на розгляд ВРУ проекту Закону України щодо впровадження відповідальності за купівлю незаконно заготовленої деревини (без спецдозволу, без чіпу, без дотримання порядку правил торгівлі деревиною з дотриманням принципу конкуренції)</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Розробка та внесення на розгляд ВРУ проекту Закону України щодо підвищення відповідальності за порушення законодавства щодо охорони водних біоресурсів та середовища їх існування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Align w:val="center"/>
            <w:vMerge w:val="restart"/>
          </w:tcPr>
          <w:p>
            <w:pPr>
              <w:jc w:val="center"/>
            </w:pPr>
            <w:r>
              <w:rPr>
                <w:sz w:val="20"/>
                <w:szCs w:val="20"/>
              </w:rPr>
              <w:t xml:space="preserve">4.	Збільшення чисельності працівників лісової охорони</w:t>
            </w:r>
          </w:p>
        </w:tc>
        <w:tc>
          <w:tcPr>
            <w:vAlign w:val="center"/>
          </w:tcPr>
          <w:p>
            <w:pPr>
              <w:jc w:val="center"/>
            </w:pPr>
            <w:r>
              <w:rPr>
                <w:sz w:val="20"/>
                <w:szCs w:val="20"/>
              </w:rPr>
              <w:t xml:space="preserve">1. Розробка та внесення на розгляд ВРУ проекту Закону України про внесення змін до Лісового кодексу України щодо функціонування лісової охорони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Розробка та внесення на розгляд КМУ проекту постанови КМУ про порядок діяльності лісової охорони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Держлісагентство</w:t>
            </w:r>
          </w:p>
        </w:tc>
      </w:tr>
      <w:tr>
        <w:trPr/>
        <w:tc>
          <w:tcPr>
            <w:vMerge w:val="continue"/>
          </w:tcPr>
          <w:p/>
        </w:tc>
        <w:tc>
          <w:tcPr>
            <w:vMerge w:val="continue"/>
          </w:tcPr>
          <w:p/>
        </w:tc>
        <w:tc>
          <w:tcPr>
            <w:vAlign w:val="center"/>
          </w:tcPr>
          <w:p>
            <w:pPr>
              <w:jc w:val="center"/>
            </w:pPr>
            <w:r>
              <w:rPr>
                <w:sz w:val="20"/>
                <w:szCs w:val="20"/>
              </w:rPr>
              <w:t xml:space="preserve">3. Забезпечити збільшення фінансування на лісову охорону</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4. Збільшити штат чисельності лісової охорони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31-03-2023</w:t>
            </w:r>
          </w:p>
        </w:tc>
        <w:tc>
          <w:tcPr>
            <w:vAlign w:val="center"/>
          </w:tcPr>
          <w:p>
            <w:pPr>
              <w:jc w:val="center"/>
            </w:pPr>
            <w:r>
              <w:rPr>
                <w:sz w:val="20"/>
                <w:szCs w:val="20"/>
              </w:rPr>
              <w:t xml:space="preserve">Держлісагентство</w:t>
            </w:r>
          </w:p>
        </w:tc>
      </w:tr>
      <w:tr>
        <w:trPr/>
        <w:tc>
          <w:tcPr>
            <w:vMerge w:val="continue"/>
          </w:tcPr>
          <w:p/>
        </w:tc>
        <w:tc>
          <w:tcPr>
            <w:vAlign w:val="center"/>
            <w:vMerge w:val="restart"/>
          </w:tcPr>
          <w:p>
            <w:pPr>
              <w:jc w:val="center"/>
            </w:pPr>
            <w:r>
              <w:rPr>
                <w:sz w:val="20"/>
                <w:szCs w:val="20"/>
              </w:rPr>
              <w:t xml:space="preserve">5.	Створення електронної системи управління рибною галуззю (E-Fish)</w:t>
            </w:r>
          </w:p>
        </w:tc>
        <w:tc>
          <w:tcPr>
            <w:vAlign w:val="center"/>
          </w:tcPr>
          <w:p>
            <w:pPr>
              <w:jc w:val="center"/>
            </w:pPr>
            <w:r>
              <w:rPr>
                <w:sz w:val="20"/>
                <w:szCs w:val="20"/>
              </w:rPr>
              <w:t xml:space="preserve">1. Розробка та внесення на розгляд КМУ проекту постанови КМУ щодо створення електронної системи управління рибною галуззю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 Держрибагентство</w:t>
            </w:r>
          </w:p>
        </w:tc>
      </w:tr>
      <w:tr>
        <w:trPr/>
        <w:tc>
          <w:tcPr>
            <w:vMerge w:val="continue"/>
          </w:tcPr>
          <w:p/>
        </w:tc>
        <w:tc>
          <w:tcPr>
            <w:vMerge w:val="continue"/>
          </w:tcPr>
          <w:p/>
        </w:tc>
        <w:tc>
          <w:tcPr>
            <w:vAlign w:val="center"/>
          </w:tcPr>
          <w:p>
            <w:pPr>
              <w:jc w:val="center"/>
            </w:pPr>
            <w:r>
              <w:rPr>
                <w:sz w:val="20"/>
                <w:szCs w:val="20"/>
              </w:rPr>
              <w:t xml:space="preserve">2. Запуск електронної системи управління рибною галуззю (розробка та тестування електронної системи, внесення даних, забезпечення фінансування)</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Держрибагентство</w:t>
            </w:r>
          </w:p>
        </w:tc>
      </w:tr>
      <w:tr>
        <w:trPr/>
        <w:tc>
          <w:tcPr>
            <w:vMerge w:val="continue"/>
          </w:tcPr>
          <w:p/>
        </w:tc>
        <w:tc>
          <w:tcPr>
            <w:vAlign w:val="center"/>
            <w:vMerge w:val="restart"/>
          </w:tcPr>
          <w:p>
            <w:pPr>
              <w:jc w:val="center"/>
            </w:pPr>
            <w:r>
              <w:rPr>
                <w:sz w:val="20"/>
                <w:szCs w:val="20"/>
              </w:rPr>
              <w:t xml:space="preserve">6.	Запровадження системи простежуваності походження водних біоресурсів</w:t>
            </w:r>
          </w:p>
        </w:tc>
        <w:tc>
          <w:tcPr>
            <w:vAlign w:val="center"/>
          </w:tcPr>
          <w:p>
            <w:pPr>
              <w:jc w:val="center"/>
            </w:pPr>
            <w:r>
              <w:rPr>
                <w:sz w:val="20"/>
                <w:szCs w:val="20"/>
              </w:rPr>
              <w:t xml:space="preserve">1. Підготовка і внесення на розгляд Верховної Ради України проекту Закону України щодо забезпечення простежуваності походження водних біоресурсів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Розробка та внесення на розгляд КМУ проекту постанови КМУ щодо затвердження порядку придбання та збуту водних біоресурсів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Мінекоенерго; Держрибагентво</w:t>
            </w:r>
          </w:p>
        </w:tc>
      </w:tr>
      <w:tr>
        <w:trPr/>
        <w:tc>
          <w:tcPr>
            <w:vMerge w:val="continue"/>
          </w:tcPr>
          <w:p/>
        </w:tc>
        <w:tc>
          <w:tcPr>
            <w:vMerge w:val="continue"/>
          </w:tcPr>
          <w:p/>
        </w:tc>
        <w:tc>
          <w:tcPr>
            <w:vAlign w:val="center"/>
          </w:tcPr>
          <w:p>
            <w:pPr>
              <w:jc w:val="center"/>
            </w:pPr>
            <w:r>
              <w:rPr>
                <w:sz w:val="20"/>
                <w:szCs w:val="20"/>
              </w:rPr>
              <w:t xml:space="preserve">3. Проведення інформаційно-комунікаційної роботи щодо запровадження простежуваності походження водних біоресурсів (публікація матеріалів, проведення круглих столів, тощо)</w:t>
            </w:r>
          </w:p>
        </w:tc>
        <w:tc>
          <w:tcPr>
            <w:tcW w:w="1500" w:type="dxa"/>
            <w:vAlign w:val="center"/>
          </w:tcPr>
          <w:p>
            <w:pPr>
              <w:jc w:val="center"/>
            </w:pPr>
            <w:r>
              <w:rPr>
                <w:sz w:val="20"/>
                <w:szCs w:val="20"/>
              </w:rPr>
              <w:t xml:space="preserve">31-12-2020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Держрибагентво</w:t>
            </w:r>
          </w:p>
        </w:tc>
      </w:tr>
      <w:tr>
        <w:trPr/>
        <w:tc>
          <w:tcPr>
            <w:vMerge w:val="continue"/>
          </w:tcPr>
          <w:p/>
        </w:tc>
        <w:tc>
          <w:tcPr>
            <w:vAlign w:val="center"/>
            <w:vMerge w:val="restart"/>
          </w:tcPr>
          <w:p>
            <w:pPr>
              <w:jc w:val="center"/>
            </w:pPr>
            <w:r>
              <w:rPr>
                <w:sz w:val="20"/>
                <w:szCs w:val="20"/>
              </w:rPr>
              <w:t xml:space="preserve">7.	Запровадження системи дистанційного моніторингу суден флоту рибної промисловості</w:t>
            </w:r>
          </w:p>
        </w:tc>
        <w:tc>
          <w:tcPr>
            <w:vAlign w:val="center"/>
          </w:tcPr>
          <w:p>
            <w:pPr>
              <w:jc w:val="center"/>
            </w:pPr>
            <w:r>
              <w:rPr>
                <w:sz w:val="20"/>
                <w:szCs w:val="20"/>
              </w:rPr>
              <w:t xml:space="preserve">1. Розробка та внесення на розгляд КМУ проекту постанови КМУ щодо запровадження системи дистанційного моніторингу суден флоту рибної промисловості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Держрибагентство; Мінекоенерго</w:t>
            </w:r>
          </w:p>
        </w:tc>
      </w:tr>
      <w:tr>
        <w:trPr/>
        <w:tc>
          <w:tcPr>
            <w:vMerge w:val="continue"/>
          </w:tcPr>
          <w:p/>
        </w:tc>
        <w:tc>
          <w:tcPr>
            <w:vMerge w:val="continue"/>
          </w:tcPr>
          <w:p/>
        </w:tc>
        <w:tc>
          <w:tcPr>
            <w:vAlign w:val="center"/>
          </w:tcPr>
          <w:p>
            <w:pPr>
              <w:jc w:val="center"/>
            </w:pPr>
            <w:r>
              <w:rPr>
                <w:sz w:val="20"/>
                <w:szCs w:val="20"/>
              </w:rPr>
              <w:t xml:space="preserve">2. Підготовка і внесення на розгляд Верховної Ради України проекту Закону України щодо запровадження відповідальності за порушення вимог системи моніторингу риболовних суден</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3. Проведення інформаційно-комунікаційної роботи щодо запровадження системи дистанційного моніторингу суден флоту рибної промисловості (публікація матеріалів, проведення круглих столів, тощо)</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Держрибагентво</w:t>
            </w:r>
          </w:p>
        </w:tc>
      </w:tr>
      <w:tr>
        <w:trPr/>
        <w:tc>
          <w:tcPr>
            <w:vAlign w:val="center"/>
            <w:vMerge w:val="restart"/>
          </w:tcPr>
          <w:p>
            <w:pPr>
              <w:jc w:val="center"/>
            </w:pPr>
            <w:r>
              <w:rPr>
                <w:sz w:val="20"/>
                <w:szCs w:val="20"/>
              </w:rPr>
              <w:t xml:space="preserve">Забезпечення ефективних превентивних заходів з недопущення погіршення якості природних ресурсів</w:t>
            </w:r>
          </w:p>
        </w:tc>
        <w:tc>
          <w:tcPr>
            <w:vAlign w:val="center"/>
            <w:vMerge w:val="restart"/>
          </w:tcPr>
          <w:p>
            <w:pPr>
              <w:jc w:val="center"/>
            </w:pPr>
            <w:r>
              <w:rPr>
                <w:sz w:val="20"/>
                <w:szCs w:val="20"/>
              </w:rPr>
              <w:t xml:space="preserve">1.	Підвищення біологічної стійкості лісів</w:t>
            </w:r>
          </w:p>
        </w:tc>
        <w:tc>
          <w:tcPr>
            <w:vAlign w:val="center"/>
          </w:tcPr>
          <w:p>
            <w:pPr>
              <w:jc w:val="center"/>
            </w:pPr>
            <w:r>
              <w:rPr>
                <w:sz w:val="20"/>
                <w:szCs w:val="20"/>
              </w:rPr>
              <w:t xml:space="preserve">1.Здійснення безперебійного попередження виникнення захворювання лісів (зокрема, шляхом забезпечення фінансування)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Мінекоенерго; Держлісагентство</w:t>
            </w:r>
          </w:p>
        </w:tc>
      </w:tr>
      <w:tr>
        <w:trPr/>
        <w:tc>
          <w:tcPr>
            <w:vMerge w:val="continue"/>
          </w:tcPr>
          <w:p/>
        </w:tc>
        <w:tc>
          <w:tcPr>
            <w:vMerge w:val="continue"/>
          </w:tcPr>
          <w:p/>
        </w:tc>
        <w:tc>
          <w:tcPr>
            <w:vAlign w:val="center"/>
          </w:tcPr>
          <w:p>
            <w:pPr>
              <w:jc w:val="center"/>
            </w:pPr>
            <w:r>
              <w:rPr>
                <w:sz w:val="20"/>
                <w:szCs w:val="20"/>
              </w:rPr>
              <w:t xml:space="preserve">2.Розроблення та затвердження нормативно-правових актів щодо спрощення процедури призначення заходів з поліпшення санітарного стану лісів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Мінекоенерго; Держлісагентство</w:t>
            </w:r>
          </w:p>
        </w:tc>
      </w:tr>
      <w:tr>
        <w:trPr/>
        <w:tc>
          <w:tcPr>
            <w:vMerge w:val="continue"/>
          </w:tcPr>
          <w:p/>
        </w:tc>
        <w:tc>
          <w:tcPr>
            <w:vMerge w:val="continue"/>
          </w:tcPr>
          <w:p/>
        </w:tc>
        <w:tc>
          <w:tcPr>
            <w:vAlign w:val="center"/>
          </w:tcPr>
          <w:p>
            <w:pPr>
              <w:jc w:val="center"/>
            </w:pPr>
            <w:r>
              <w:rPr>
                <w:sz w:val="20"/>
                <w:szCs w:val="20"/>
              </w:rPr>
              <w:t xml:space="preserve">3.Забезпечити фінансову підтримку заходів з посадки змішаних лісів з метою підвищення їх біологічної стійкості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Мінекоенерго; Держлісагентство</w:t>
            </w:r>
          </w:p>
        </w:tc>
      </w:tr>
      <w:tr>
        <w:trPr/>
        <w:tc>
          <w:tcPr>
            <w:vMerge w:val="continue"/>
          </w:tcPr>
          <w:p/>
        </w:tc>
        <w:tc>
          <w:tcPr>
            <w:vMerge w:val="continue"/>
          </w:tcPr>
          <w:p/>
        </w:tc>
        <w:tc>
          <w:tcPr>
            <w:vAlign w:val="center"/>
          </w:tcPr>
          <w:p>
            <w:pPr>
              <w:jc w:val="center"/>
            </w:pPr>
            <w:r>
              <w:rPr>
                <w:sz w:val="20"/>
                <w:szCs w:val="20"/>
              </w:rPr>
              <w:t xml:space="preserve">4.Здійснити необхідні заходи щодо посадки змішаних лісів з метою підвищення їх біологічної стійкості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Держлісагентство</w:t>
            </w:r>
          </w:p>
        </w:tc>
      </w:tr>
      <w:tr>
        <w:trPr/>
        <w:tc>
          <w:tcPr>
            <w:vMerge w:val="continue"/>
          </w:tcPr>
          <w:p/>
        </w:tc>
        <w:tc>
          <w:tcPr>
            <w:vMerge w:val="continue"/>
          </w:tcPr>
          <w:p/>
        </w:tc>
        <w:tc>
          <w:tcPr>
            <w:vAlign w:val="center"/>
          </w:tcPr>
          <w:p>
            <w:pPr>
              <w:jc w:val="center"/>
            </w:pPr>
            <w:r>
              <w:rPr>
                <w:sz w:val="20"/>
                <w:szCs w:val="20"/>
              </w:rPr>
              <w:t xml:space="preserve">5.Проведення інформаційно-комунікаційних заходів щодо повідомлень населення про зміну підходів у процесі лісовідновлення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Держлісагентство</w:t>
            </w:r>
          </w:p>
        </w:tc>
      </w:tr>
      <w:tr>
        <w:trPr/>
        <w:tc>
          <w:tcPr>
            <w:vMerge w:val="continue"/>
          </w:tcPr>
          <w:p/>
        </w:tc>
        <w:tc>
          <w:tcPr>
            <w:vAlign w:val="center"/>
            <w:vMerge w:val="restart"/>
          </w:tcPr>
          <w:p>
            <w:pPr>
              <w:jc w:val="center"/>
            </w:pPr>
            <w:r>
              <w:rPr>
                <w:sz w:val="20"/>
                <w:szCs w:val="20"/>
              </w:rPr>
              <w:t xml:space="preserve">2.	Створення нової системи моніторингу підземних вод та небезпечних геологічних процесів</w:t>
            </w:r>
          </w:p>
        </w:tc>
        <w:tc>
          <w:tcPr>
            <w:vAlign w:val="center"/>
          </w:tcPr>
          <w:p>
            <w:pPr>
              <w:jc w:val="center"/>
            </w:pPr>
            <w:r>
              <w:rPr>
                <w:sz w:val="20"/>
                <w:szCs w:val="20"/>
              </w:rPr>
              <w:t xml:space="preserve">1. Адаптація системи моніторингу підземних вод для впровадження інтегрованих підходів з метою управління ресурсами за басейновим принципом та осучаснення системи моніторингу небезпечних геологічних процесів</w:t>
            </w:r>
          </w:p>
        </w:tc>
        <w:tc>
          <w:tcPr>
            <w:tcW w:w="1500" w:type="dxa"/>
            <w:vAlign w:val="center"/>
          </w:tcPr>
          <w:p>
            <w:pPr>
              <w:jc w:val="center"/>
            </w:pPr>
            <w:r>
              <w:rPr>
                <w:sz w:val="20"/>
                <w:szCs w:val="20"/>
              </w:rPr>
              <w:t xml:space="preserve">01-11-2020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Держгеонадра</w:t>
            </w:r>
          </w:p>
        </w:tc>
      </w:tr>
      <w:tr>
        <w:trPr/>
        <w:tc>
          <w:tcPr>
            <w:vAlign w:val="center"/>
            <w:vMerge w:val="restart"/>
          </w:tcPr>
          <w:p>
            <w:pPr>
              <w:jc w:val="center"/>
            </w:pPr>
            <w:r>
              <w:rPr>
                <w:sz w:val="20"/>
                <w:szCs w:val="20"/>
              </w:rPr>
              <w:t xml:space="preserve">Забезпечення справляння реальної вартості за використання природних ресурсів</w:t>
            </w:r>
          </w:p>
        </w:tc>
        <w:tc>
          <w:tcPr>
            <w:vAlign w:val="center"/>
            <w:vMerge w:val="restart"/>
          </w:tcPr>
          <w:p>
            <w:pPr>
              <w:jc w:val="center"/>
            </w:pPr>
            <w:r>
              <w:rPr>
                <w:sz w:val="20"/>
                <w:szCs w:val="20"/>
              </w:rPr>
              <w:t xml:space="preserve">1.	Збільшення плати за спеціальне використання водних біоресурсів</w:t>
            </w:r>
          </w:p>
        </w:tc>
        <w:tc>
          <w:tcPr>
            <w:vAlign w:val="center"/>
          </w:tcPr>
          <w:p>
            <w:pPr>
              <w:jc w:val="center"/>
            </w:pPr>
            <w:r>
              <w:rPr>
                <w:sz w:val="20"/>
                <w:szCs w:val="20"/>
              </w:rPr>
              <w:t xml:space="preserve">1. Розробка та внесення на розгляд КМУ проекту постанови КМУ про порядок справляння плати за спеціальне використання водних біоресурсів і її розміри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Мінекоенерго; Держрибагентство</w:t>
            </w:r>
          </w:p>
        </w:tc>
      </w:tr>
      <w:tr>
        <w:trPr/>
        <w:tc>
          <w:tcPr>
            <w:vMerge w:val="continue"/>
          </w:tcPr>
          <w:p/>
        </w:tc>
        <w:tc>
          <w:tcPr>
            <w:vAlign w:val="center"/>
            <w:vMerge w:val="restart"/>
          </w:tcPr>
          <w:p>
            <w:pPr>
              <w:jc w:val="center"/>
            </w:pPr>
            <w:r>
              <w:rPr>
                <w:sz w:val="20"/>
                <w:szCs w:val="20"/>
              </w:rPr>
              <w:t xml:space="preserve">2.	Проведення перерахунку розміру орендної плати за водні об’єкти</w:t>
            </w:r>
          </w:p>
        </w:tc>
        <w:tc>
          <w:tcPr>
            <w:vAlign w:val="center"/>
          </w:tcPr>
          <w:p>
            <w:pPr>
              <w:jc w:val="center"/>
            </w:pPr>
            <w:r>
              <w:rPr>
                <w:sz w:val="20"/>
                <w:szCs w:val="20"/>
              </w:rPr>
              <w:t xml:space="preserve">1. Внесення змін до існуючих договорів оренди водних об'єктів</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Обласні державні адміністрації; сільські; селищні; міські ради</w:t>
            </w:r>
          </w:p>
        </w:tc>
      </w:tr>
      <w:tr>
        <w:trPr/>
        <w:tc>
          <w:tcPr>
            <w:vMerge w:val="continue"/>
          </w:tcPr>
          <w:p/>
        </w:tc>
        <w:tc>
          <w:tcPr>
            <w:vMerge w:val="continue"/>
          </w:tcPr>
          <w:p/>
        </w:tc>
        <w:tc>
          <w:tcPr>
            <w:vAlign w:val="center"/>
          </w:tcPr>
          <w:p>
            <w:pPr>
              <w:jc w:val="center"/>
            </w:pPr>
            <w:r>
              <w:rPr>
                <w:sz w:val="20"/>
                <w:szCs w:val="20"/>
              </w:rPr>
              <w:t xml:space="preserve">2. Надання методичної допомоги щодо внесення змін до існуючих договорів оренди водних об'єктів у форматі листів-роз'яснень для облдержадміністрацій, органів місцевого самоврядування, суб'єктів господарювання та громадськості</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Держводагентство</w:t>
            </w:r>
          </w:p>
        </w:tc>
      </w:tr>
      <w:tr>
        <w:trPr/>
        <w:tc>
          <w:tcPr>
            <w:vMerge w:val="continue"/>
          </w:tcPr>
          <w:p/>
        </w:tc>
        <w:tc>
          <w:tcPr>
            <w:vAlign w:val="center"/>
            <w:vMerge w:val="restart"/>
          </w:tcPr>
          <w:p>
            <w:pPr>
              <w:jc w:val="center"/>
            </w:pPr>
            <w:r>
              <w:rPr>
                <w:sz w:val="20"/>
                <w:szCs w:val="20"/>
              </w:rPr>
              <w:t xml:space="preserve">3.	Боротьба зі "сплячими" спеціальними дозволами на користування надрами</w:t>
            </w:r>
          </w:p>
        </w:tc>
        <w:tc>
          <w:tcPr>
            <w:vAlign w:val="center"/>
          </w:tcPr>
          <w:p>
            <w:pPr>
              <w:jc w:val="center"/>
            </w:pPr>
            <w:r>
              <w:rPr>
                <w:sz w:val="20"/>
                <w:szCs w:val="20"/>
              </w:rPr>
              <w:t xml:space="preserve">1. Розробка та внесення на розгляд ВРУ проекту Закону України про введення плати за користування ділянкою надр, на які видано спецдозволи, проте видобуток не ведеться</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Забезпечення ефективного геологічного контролю</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Держгеонадра</w:t>
            </w:r>
          </w:p>
        </w:tc>
      </w:tr>
      <w:tr>
        <w:trPr/>
        <w:tc>
          <w:tcPr>
            <w:vMerge w:val="continue"/>
          </w:tcPr>
          <w:p/>
        </w:tc>
        <w:tc>
          <w:tcPr>
            <w:vMerge w:val="continue"/>
          </w:tcPr>
          <w:p/>
        </w:tc>
        <w:tc>
          <w:tcPr>
            <w:vAlign w:val="center"/>
          </w:tcPr>
          <w:p>
            <w:pPr>
              <w:jc w:val="center"/>
            </w:pPr>
            <w:r>
              <w:rPr>
                <w:sz w:val="20"/>
                <w:szCs w:val="20"/>
              </w:rPr>
              <w:t xml:space="preserve">3. Переглянути підписані угоди про розподіл продукції, діяльність за якими не проводиться, та вжити відповідних заходів.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Держгеонадра</w:t>
            </w:r>
          </w:p>
        </w:tc>
      </w:tr>
      <w:tr>
        <w:trPr/>
        <w:tc>
          <w:tcPr>
            <w:vAlign w:val="center"/>
            <w:vMerge w:val="restart"/>
          </w:tcPr>
          <w:p>
            <w:pPr>
              <w:jc w:val="center"/>
            </w:pPr>
            <w:r>
              <w:rPr>
                <w:sz w:val="20"/>
                <w:szCs w:val="20"/>
              </w:rPr>
              <w:t xml:space="preserve">Забезпечення заходів з інтенсифікації видобутку корисних копалин</w:t>
            </w:r>
          </w:p>
        </w:tc>
        <w:tc>
          <w:tcPr>
            <w:vAlign w:val="center"/>
            <w:vMerge w:val="restart"/>
          </w:tcPr>
          <w:p>
            <w:pPr>
              <w:jc w:val="center"/>
            </w:pPr>
            <w:r>
              <w:rPr>
                <w:sz w:val="20"/>
                <w:szCs w:val="20"/>
              </w:rPr>
              <w:t xml:space="preserve">1.	Стимулювання буріння нових свердловин з метою видобутку вуглеводнів</w:t>
            </w:r>
          </w:p>
        </w:tc>
        <w:tc>
          <w:tcPr>
            <w:vAlign w:val="center"/>
          </w:tcPr>
          <w:p>
            <w:pPr>
              <w:jc w:val="center"/>
            </w:pPr>
            <w:r>
              <w:rPr>
                <w:sz w:val="20"/>
                <w:szCs w:val="20"/>
              </w:rPr>
              <w:t xml:space="preserve">1. Розробка та внесення на розгляд ВРУ нормативно-правового акту з метою розповсюдження стимулюючих ставок ренти на рідкі вуглеводні при бурінні нових свердловин</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Мінекоенерго</w:t>
            </w:r>
          </w:p>
        </w:tc>
      </w:tr>
      <w:tr>
        <w:trPr/>
        <w:tc>
          <w:tcPr>
            <w:vMerge w:val="continue"/>
          </w:tcPr>
          <w:p/>
        </w:tc>
        <w:tc>
          <w:tcPr>
            <w:vAlign w:val="center"/>
            <w:vMerge w:val="restart"/>
          </w:tcPr>
          <w:p>
            <w:pPr>
              <w:jc w:val="center"/>
            </w:pPr>
            <w:r>
              <w:rPr>
                <w:sz w:val="20"/>
                <w:szCs w:val="20"/>
              </w:rPr>
              <w:t xml:space="preserve">2.	Стимулювання розробки покладів способом, який відрізняється від звичайного або традиційного (нетрадиційних покладів)</w:t>
            </w:r>
          </w:p>
        </w:tc>
        <w:tc>
          <w:tcPr>
            <w:vAlign w:val="center"/>
          </w:tcPr>
          <w:p>
            <w:pPr>
              <w:jc w:val="center"/>
            </w:pPr>
            <w:r>
              <w:rPr>
                <w:sz w:val="20"/>
                <w:szCs w:val="20"/>
              </w:rPr>
              <w:t xml:space="preserve">1. Розробка та внесення на розгляд ВРУ нормативно-правового акту з метою визначення поняття "нетрадиційних покладів"</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Розробка та внесення на розгляд ВРУ проекту Закону України з метою надання податкових пільг підприємствам, які здійснюють видобуток "нетрадиційних покладів"</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w:t>
            </w:r>
          </w:p>
        </w:tc>
      </w:tr>
      <w:tr>
        <w:trPr/>
        <w:tc>
          <w:tcPr>
            <w:vMerge w:val="continue"/>
          </w:tcPr>
          <w:p/>
        </w:tc>
        <w:tc>
          <w:tcPr>
            <w:vAlign w:val="center"/>
            <w:vMerge w:val="restart"/>
          </w:tcPr>
          <w:p>
            <w:pPr>
              <w:jc w:val="center"/>
            </w:pPr>
            <w:r>
              <w:rPr>
                <w:sz w:val="20"/>
                <w:szCs w:val="20"/>
              </w:rPr>
              <w:t xml:space="preserve">3.	Застосування новітніх технологій на старих родовищах та сучасних методів інтенсифікації видобутку</w:t>
            </w:r>
          </w:p>
        </w:tc>
        <w:tc>
          <w:tcPr>
            <w:vAlign w:val="center"/>
          </w:tcPr>
          <w:p>
            <w:pPr>
              <w:jc w:val="center"/>
            </w:pPr>
            <w:r>
              <w:rPr>
                <w:sz w:val="20"/>
                <w:szCs w:val="20"/>
              </w:rPr>
              <w:t xml:space="preserve">1. Проведення інформаційно-комунікаційної компанії з метою залучення іноземних гравців на цей ринок до участі в аукціонах та конкурсах з укладання угод про розподіл продукції для популяризації приходу іноземних гравців шляхом промоції аукціонів та конкурсів з укладання угод про розподіл продукції</w:t>
            </w:r>
          </w:p>
        </w:tc>
        <w:tc>
          <w:tcPr>
            <w:tcW w:w="1500" w:type="dxa"/>
            <w:vAlign w:val="center"/>
          </w:tcPr>
          <w:p>
            <w:pPr>
              <w:jc w:val="center"/>
            </w:pPr>
            <w:r>
              <w:rPr>
                <w:sz w:val="20"/>
                <w:szCs w:val="20"/>
              </w:rPr>
              <w:t xml:space="preserve">01-11-2020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Держгеонадра</w:t>
            </w:r>
          </w:p>
        </w:tc>
      </w:tr>
      <w:tr>
        <w:trPr/>
        <w:tc>
          <w:tcPr>
            <w:vMerge w:val="continue"/>
          </w:tcPr>
          <w:p/>
        </w:tc>
        <w:tc>
          <w:tcPr>
            <w:vMerge w:val="continue"/>
          </w:tcPr>
          <w:p/>
        </w:tc>
        <w:tc>
          <w:tcPr>
            <w:vAlign w:val="center"/>
          </w:tcPr>
          <w:p>
            <w:pPr>
              <w:jc w:val="center"/>
            </w:pPr>
            <w:r>
              <w:rPr>
                <w:sz w:val="20"/>
                <w:szCs w:val="20"/>
              </w:rPr>
              <w:t xml:space="preserve">2. Оновлення Правил безпеки в нафтогазодобувній промисловості</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Держгеонадра; Держпраці</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983579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ref1" TargetMode="External"/><Relationship Id="rId9" Type="http://schemas.openxmlformats.org/officeDocument/2006/relationships/hyperlink" Target="http://www.ukrstat.gov.ua/" TargetMode="External"/><Relationship Id="rId10" Type="http://schemas.openxmlformats.org/officeDocument/2006/relationships/hyperlink" Target="_ftn2" TargetMode="External"/><Relationship Id="rId11" Type="http://schemas.openxmlformats.org/officeDocument/2006/relationships/hyperlink" Target="_ftn3" TargetMode="External"/><Relationship Id="rId12" Type="http://schemas.openxmlformats.org/officeDocument/2006/relationships/hyperlink" Target="_ftn4" TargetMode="External"/><Relationship Id="rId13" Type="http://schemas.openxmlformats.org/officeDocument/2006/relationships/hyperlink" Target="_ftn5" TargetMode="External"/><Relationship Id="rId14" Type="http://schemas.openxmlformats.org/officeDocument/2006/relationships/hyperlink" Target="_ftn6" TargetMode="External"/><Relationship Id="rId15" Type="http://schemas.openxmlformats.org/officeDocument/2006/relationships/hyperlink" Target="_ftn7" TargetMode="External"/><Relationship Id="rId16" Type="http://schemas.openxmlformats.org/officeDocument/2006/relationships/hyperlink" Target="_ftn8" TargetMode="External"/><Relationship Id="rId17" Type="http://schemas.openxmlformats.org/officeDocument/2006/relationships/hyperlink" Target="_ftnref2" TargetMode="External"/><Relationship Id="rId18" Type="http://schemas.openxmlformats.org/officeDocument/2006/relationships/hyperlink" Target="http://geoinf.kiev.ua/publikatsiyi/shchorichnyky/mineralni-resursy-ukrayiny/" TargetMode="External"/><Relationship Id="rId19" Type="http://schemas.openxmlformats.org/officeDocument/2006/relationships/hyperlink" Target="_ftnref3" TargetMode="External"/><Relationship Id="rId20" Type="http://schemas.openxmlformats.org/officeDocument/2006/relationships/hyperlink" Target="_ftnref4" TargetMode="External"/><Relationship Id="rId21" Type="http://schemas.openxmlformats.org/officeDocument/2006/relationships/hyperlink" Target="_ftnref5" TargetMode="External"/><Relationship Id="rId22" Type="http://schemas.openxmlformats.org/officeDocument/2006/relationships/hyperlink" Target="_ftnref6" TargetMode="External"/><Relationship Id="rId23" Type="http://schemas.openxmlformats.org/officeDocument/2006/relationships/hyperlink" Target="_ftnref7" TargetMode="External"/><Relationship Id="rId24" Type="http://schemas.openxmlformats.org/officeDocument/2006/relationships/hyperlink" Target="_ftnref8" TargetMode="External"/><Relationship Id="rId25" Type="http://schemas.openxmlformats.org/officeDocument/2006/relationships/hyperlink" Target="_ftn9" TargetMode="External"/><Relationship Id="rId26" Type="http://schemas.openxmlformats.org/officeDocument/2006/relationships/hyperlink" Target="https://zakon.rada.gov.ua/laws/main/1079-2016-%D1%80" TargetMode="External"/><Relationship Id="rId27" Type="http://schemas.openxmlformats.org/officeDocument/2006/relationships/hyperlink" Target="https://zakon.rada.gov.ua/laws/main/2697-19" TargetMode="External"/><Relationship Id="rId28" Type="http://schemas.openxmlformats.org/officeDocument/2006/relationships/hyperlink" Target="_ftnre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2020-02-10T10:29:47+02:00</dcterms:created>
  <dcterms:modified xsi:type="dcterms:W3CDTF">2020-02-10T10:29:47+02:00</dcterms:modified>
</cp:coreProperties>
</file>

<file path=docProps/custom.xml><?xml version="1.0" encoding="utf-8"?>
<Properties xmlns="http://schemas.openxmlformats.org/officeDocument/2006/custom-properties" xmlns:vt="http://schemas.openxmlformats.org/officeDocument/2006/docPropsVTypes"/>
</file>