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9.8. «Українець усвідомлює наслідки глобальних змін клімату, вживає заходів для їх запобігання, проте готовий до них адаптуватись»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Глобальна зміна клімату ставить під ризик економічний розвиток та продовольчу безпеку українців в середньостроковій і довгостроковій перспективі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Виробники енергії на викопному паливі ,Користувачі транспорту на викопному паливі ,Усі верстви населення та бізнесу, які в зоні ризику втрати інвестицій чи майна через глобальну зміну клімату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Вирішення проблеми зміни клімату потребує значних системних змін в енергетичному, транспортному, промисловому секторах та секторі будівель країни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Бездіяльність щодо скорочення викидів та адаптації призведе до наслідків, які буде значно дорожче або неможливо подолати. Помилкове прийняття рішень щодо розвитку енергетичного сектору призведе до неможливості необхідних скорочень викидів в майбутньому, високої вартості для економіки чи втрати інвестицій через необхідність передчасного виводу з експлуатації енергетичних систем на викопному паливі</w:t>
      </w:r>
    </w:p>
    <w:p>
      <w:pPr/>
      <w:r>
        <w:rPr>
          <w:b w:val="1"/>
          <w:bCs w:val="1"/>
        </w:rPr>
        <w:t xml:space="preserve">1.5. Динаміка проблеми:  Негативна</w:t>
      </w:r>
    </w:p>
    <w:p>
      <w:pPr/>
      <w:r>
        <w:rPr/>
        <w:t xml:space="preserve">Європейський Союз розглядає введення вуглецевого податку для імпортованих товарів, що ставить значні економічні ризики частині української промисловості у випадку відсутності рівноцінних обмежень на викиди парникових газів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Низький рівень інтеграції проблеми зміни клімату в секторальні і регіональні стратегії і плани</w:t>
      </w:r>
    </w:p>
    <w:p>
      <w:pPr/>
      <w:r>
        <w:rPr/>
        <w:t xml:space="preserve">Найважливішим сектором є енергетичний, так як понад 70% викидів пов’язані зі спалюванням викопного палива. Частка викопного палива в енергетичному, промисловому та транспортному секторах є переважною. Частка відновлюваної енергетики, незважаючи на механізми підтримки, в загальному кінцевому енергопостачанні залишається низькою – 6,6 % (8,6 % частка ВДЕ в електроенергетиці; 7,6% в системах опалення та охолодження, 2017 рік). Інші важливі сектори: транспорт, сільське господарство, промисловість, лісове господарство і управління відходами</w:t>
      </w:r>
    </w:p>
    <w:p>
      <w:pPr/>
      <w:r>
        <w:rPr/>
        <w:t xml:space="preserve">Причина 2 - Недосконалість системи державних механізмів стимулювання розвитку низьковуглецевих технологій</w:t>
      </w:r>
    </w:p>
    <w:p>
      <w:pPr/>
      <w:r>
        <w:rPr/>
        <w:t xml:space="preserve">В секторальних концепціях та стратегіях часто прописані правильні дії, які за відсутністю відповідних механізмів не реалізуються в життя. Частка виділення бюджетних коштів на підтримку виробництва викопного палива більше, ніж кошти на стимулювання енергоефективності</w:t>
      </w:r>
    </w:p>
    <w:p>
      <w:pPr/>
      <w:r>
        <w:rPr/>
        <w:t xml:space="preserve">Причина 3 - Відсутність якісних секторальних досліджень з оцінкою ризиків від глобальної зміни клімату та стратегії і планів по адаптації</w:t>
      </w:r>
    </w:p>
    <w:p>
      <w:pPr/>
      <w:r>
        <w:rPr/>
        <w:t xml:space="preserve">Інвестору або місцевій владі дуже складно оцінювати потенційні ризики від глобальної зміни клімату і враховувати їх при плануванні розвитку регіону та інвестицій</w:t>
      </w:r>
    </w:p>
    <w:p>
      <w:pPr/>
      <w:r>
        <w:rPr/>
        <w:t xml:space="preserve">Причина 4 - Недостатнє використання потенціалу українських наукових установ щодо скорочення викидів парникових газів та в сфері адаптації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Скорочення обсягу викидів парникових газів до 2024 року</w:t>
      </w:r>
    </w:p>
    <w:p>
      <w:pPr>
        <w:numPr>
          <w:ilvl w:val="0"/>
          <w:numId w:val="1"/>
        </w:numPr>
      </w:pPr>
      <w:r>
        <w:rPr/>
        <w:t xml:space="preserve">Відсоток скорочення використання озоноруйнівних речовин та фторованих парникових газів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Протягом останніх років в Україні створено засади щодо формування кліматичної політики скорочення викидів і адаптації: прийнято Концепцію реалізації державної політики у сфері зміни клімату на період до 2030 року (</w:t>
      </w:r>
      <w:hyperlink r:id="rId7" w:history="1">
        <w:r>
          <w:rPr/>
          <w:t xml:space="preserve">https://menr.gov.ua/news/32001.html</w:t>
        </w:r>
      </w:hyperlink>
      <w:r>
        <w:rPr/>
        <w:t xml:space="preserve">) та відповідний план дій (</w:t>
      </w:r>
      <w:hyperlink r:id="rId8" w:history="1">
        <w:r>
          <w:rPr/>
          <w:t xml:space="preserve">https://menr.gov.ua/content/klimatichna-politika-ukraini.html</w:t>
        </w:r>
      </w:hyperlink>
      <w:r>
        <w:rPr/>
        <w:t xml:space="preserve">); прийнято Стратегію низьковуглецевого розвитку України до 2050 року (</w:t>
      </w:r>
      <w:hyperlink r:id="rId9" w:history="1">
        <w:r>
          <w:rPr/>
          <w:t xml:space="preserve">https://menr.gov.ua/news/31815.html</w:t>
        </w:r>
      </w:hyperlink>
      <w:r>
        <w:rPr/>
        <w:t xml:space="preserve">) підготовлено Закон «Про моніторинг, оцінку і верифікацію викидів парникових газів» та Закон «Про озоноруйнівні речовини та фторовані парникові гази». Міжнародні зобов’язання України по скороченню викидів в Паризьку Угоду прийняті на такому рівні, що без додаткових дій з боку держави вони виконуються, тобто не стимулюють до скорочення викидів. Найбільшим стимулом щодо енергоефективності та розвитку відновлюваної енергетики наразі є обов’язкові плани в рамках Енергетичного Співтовариства. Готується секторальна стратегія з адаптації в секторі сільського господарства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“Національні секторальні стратегії розвитку враховують необхідність скорочення викидів парникових газів, поступового переходу на відновлювані джерела енергії та ризики наслідків глобальної зміни клімату”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Частка національних секторальних стратегій розвитку, які враховують науково обґрунтовані цілі і завдання щодо скорочення викидів парникових газів і ризики наслідків глобальної зміни клімату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Збільшення частки національних секторальних стратегій розвитку, які враховують науково обгрунтовані цілі і завдання щодо скорочення викидів парникових газів і ризики наслідків глобальної зміни клімату</w:t>
      </w:r>
    </w:p>
    <w:p>
      <w:pPr/>
      <w:r>
        <w:rPr>
          <w:b w:val="1"/>
          <w:bCs w:val="1"/>
        </w:rPr>
        <w:t xml:space="preserve">2.2. Підціль 2 “В секторах основних джерел викидів і поглинання парникових газів існують дієві адміністративні та економічні інструменти стимулювання низьковуглецевих рішень і технологій. Субсидії і бюджетне фінансування видобутку та використання викопного палива   поступово згортаються”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% Скорочення обсягу державних субсидій на видобуток та використання викопного палива</w:t>
      </w:r>
    </w:p>
    <w:p>
      <w:pPr>
        <w:numPr>
          <w:ilvl w:val="0"/>
          <w:numId w:val="1"/>
        </w:numPr>
      </w:pPr>
      <w:r>
        <w:rPr/>
        <w:t xml:space="preserve">Запровадження адміністративних і економічних інструментів з метою скорочення викидів та збільшення поглинання парникових газів в секторах енергетики, транспорту, промисловості, будівель, сільському господарстві, лісовому господарстві та сектору поводження з відходами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Скорочення обсягу державних субсидій на видобуток та використання викопного палива</w:t>
      </w:r>
    </w:p>
    <w:p>
      <w:pPr>
        <w:numPr>
          <w:ilvl w:val="0"/>
          <w:numId w:val="1"/>
        </w:numPr>
      </w:pPr>
      <w:r>
        <w:rPr/>
        <w:t xml:space="preserve">Запровадження інструментів з метою скорочення викидів та збільшення поглинання парникових газів</w:t>
      </w:r>
    </w:p>
    <w:p>
      <w:pPr/>
      <w:r>
        <w:rPr>
          <w:b w:val="1"/>
          <w:bCs w:val="1"/>
        </w:rPr>
        <w:t xml:space="preserve">2.3. Підціль 3 “В найбільш вразливих секторах та регіонах розроблено програми адаптації до наслідків глобальної зміни клімату”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Частка найбільш вразливих секторів до зміни клімату, для яких проведено аналіз ризиків і розроблено стратегію адаптації</w:t>
      </w:r>
    </w:p>
    <w:p>
      <w:pPr>
        <w:numPr>
          <w:ilvl w:val="0"/>
          <w:numId w:val="1"/>
        </w:numPr>
      </w:pPr>
      <w:r>
        <w:rPr/>
        <w:t xml:space="preserve">Частка регіонів України, для яких зроблено оцінку вразливості до зміни клімату та розроблено стратегію адаптації</w:t>
      </w:r>
    </w:p>
    <w:p>
      <w:pPr/>
      <w:r>
        <w:rPr>
          <w:b w:val="1"/>
          <w:bCs w:val="1"/>
        </w:rPr>
        <w:t xml:space="preserve">Завдання до підцілі 3: </w:t>
      </w:r>
    </w:p>
    <w:p>
      <w:pPr>
        <w:numPr>
          <w:ilvl w:val="0"/>
          <w:numId w:val="1"/>
        </w:numPr>
      </w:pPr>
      <w:r>
        <w:rPr/>
        <w:t xml:space="preserve">Збільшення частки найбільш вразливих секторів до зміни клімату, для яких проведено аналіз ризиків і розроблено стратегію адаптації</w:t>
      </w:r>
    </w:p>
    <w:p>
      <w:pPr>
        <w:numPr>
          <w:ilvl w:val="0"/>
          <w:numId w:val="1"/>
        </w:numPr>
      </w:pPr>
      <w:r>
        <w:rPr/>
        <w:t xml:space="preserve">Збільшення частки регіонів України, для яких зроблено оцінку вразливості до зміни клімату та розроблено стратегію адаптації</w:t>
      </w:r>
    </w:p>
    <w:p>
      <w:pPr/>
      <w:r>
        <w:rPr>
          <w:b w:val="1"/>
          <w:bCs w:val="1"/>
        </w:rPr>
        <w:t xml:space="preserve">2.4. Підціль 4 “В Україні продукується більше якісних досліджень і розробок в сфері низьковуглецевого розвитку та адаптації до зміни клімату”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Державне фінансування, що направляється на наукові розробки і дослідження в сфері кліматоохоронної політики використовується ефективно і сприяє виконанню цілей програми дій Уряду</w:t>
      </w:r>
    </w:p>
    <w:p>
      <w:pPr>
        <w:numPr>
          <w:ilvl w:val="0"/>
          <w:numId w:val="1"/>
        </w:numPr>
      </w:pPr>
      <w:r>
        <w:rPr/>
        <w:t xml:space="preserve">Відповідні українські наукові установи мають сприятливі умови для участі в міжнародних наукових програмах і для залучення перспективної молоді в роботу</w:t>
      </w:r>
    </w:p>
    <w:p>
      <w:pPr/>
      <w:r>
        <w:rPr>
          <w:b w:val="1"/>
          <w:bCs w:val="1"/>
        </w:rPr>
        <w:t xml:space="preserve">Завдання до підцілі 4: </w:t>
      </w:r>
    </w:p>
    <w:p>
      <w:pPr>
        <w:numPr>
          <w:ilvl w:val="0"/>
          <w:numId w:val="1"/>
        </w:numPr>
      </w:pPr>
      <w:r>
        <w:rPr/>
        <w:t xml:space="preserve">Державне фінансування, що направляється на наукові розробки і дослідження в сфері кліматоохоронної політики використовується ефективно і сприяє виконанню цілей програми дій Уряду</w:t>
      </w:r>
    </w:p>
    <w:p>
      <w:pPr>
        <w:numPr>
          <w:ilvl w:val="0"/>
          <w:numId w:val="1"/>
        </w:numPr>
      </w:pPr>
      <w:r>
        <w:rPr/>
        <w:t xml:space="preserve">Відповідні українські наукові установи мають сприятливі умови для участі в міжнародних наукових програмах і для залучення перспективної молоді в роботу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Національні секторальні стратегії розвитку враховують необхідність скорочення викидів парникових газів, поступового переходу на відновлювані джерела енергії та ризики наслідків глобальної зміни клімату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частки національних секторальних стратегій розвитку, які враховують науково обгрунтовані цілі і завдання щодо скорочення викидів парникових газів і ризики наслідків глобальної зміни клімату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Затвердження Другого національно-визначеного внеску України до Паризької угоди, в якому показник(и) скорочення обсягу викидів парникових газів є амбітним та справедливим у контексті довгострокового соціально-економічного розвитку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законодавства щодо регулювання обігу озоноруйнівних та фторованих парникових газів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Ратифікація Кігалійської поправки до Монреальського протоколу про речовини, що руйнують озоновий шар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і затвердження плану дій на виконання Другого національно-ви значеного внеску до Паризької Угоди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Розробка та прийняття Національної стратегії розвитку велотранспорту в Україні. Розробка та прийняття Плану дій до Національної стратегії розвитку велотранспорту в Україні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Мінінфраструктури; Мінекоенерго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Визначення доцільних для поширення в Україні технологій в галузях, де за останні роки спостерігається зростання викидів парникових газів та підготовка пропозицій по впровадженню цих технологій за методологіями UNFCCC та UNEP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 секторах основних джерел викидів і поглинання парникових газів існують дієві адміністративні та економічні інструменти стимулювання низьковуглецевих рішень і технологій. Субсидії і бюджетне фінансування видобутку та використання викопного палива   поступово згортаються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Скорочення обсягу державних субсидій на видобуток та використання викопного палива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Впровадження системи моніторингу, звітності та верифікації викидів парникових газів в Україні з метою отримання достовірних даних про викиди парникових газів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інструментів з метою скорочення викидів та збільшення поглинання парникових газів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Побудова системи ліцензування, квотування імпорту/експорту фторованих парникових газів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Єдиного державного реєстру операторів контрольованих речовин (озоноруйнівні речовини, фторовані парникові гази)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Мінекоенерго, інші ЦОВВ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 найбільш вразливих секторах та регіонах розроблено програми адаптації до наслідків глобальної зміни клімату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частки найбільш вразливих секторів до зміни клімату, для яких проведено аналіз ризиків і розроблено стратегію адаптації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Проведення галузевих досліджень щодо наслідків зміни клімату в Україні та розробка програм адаптації в найвразливіших сферах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частки регіонів України, для яких зроблено оцінку вразливості до зміни клімату та розроблено стратегію адаптації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Розроблення та затвердження Стратегії адаптації до зміни клімату України на період до 2030 року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Сприяння в розробці регіональних стратегій адаптації до зміни клімату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Місцеві органи виконавчої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 Україні продукується більше якісних досліджень і розробок в сфері низьковуглецевого розвитку та адаптації до зміни клімату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Державне фінансування, що направляється на наукові розробки і дослідження в сфері кліматоохоронної політики використовується ефективно і сприяє виконанню цілей програми дій Уряду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стратегії розвитку гідрометеорологічних інституцій в Україні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Укргідрометцентр; Мінекоенерго;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Підготовка звітності для виконання міжнародних зобов’язань за РКЗК ООН та Кіотським протоколом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Мінекоенерго; інші ЦОВВ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Відповідні українські наукові установи мають сприятливі умови для участі в міжнародних наукових програмах і для залучення перспективної молоді в роботу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Аналіз бар’єрів і рішень щодо залучення українських наукових установ для участі в міжнародних проектах в якості підрядників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МОН, Мінекоенерго, інші ЦОВВ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8EF07B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menr.gov.ua/news/32001.html" TargetMode="External"/><Relationship Id="rId8" Type="http://schemas.openxmlformats.org/officeDocument/2006/relationships/hyperlink" Target="https://menr.gov.ua/content/klimatichna-politika-ukraini.html" TargetMode="External"/><Relationship Id="rId9" Type="http://schemas.openxmlformats.org/officeDocument/2006/relationships/hyperlink" Target="https://menr.gov.ua/news/318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2020-02-10T10:29:46+02:00</dcterms:created>
  <dcterms:modified xsi:type="dcterms:W3CDTF">2020-02-10T10:29:46+02:00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