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83.png" ContentType="image/png"/>
  <Override PartName="/word/media/rId88.png" ContentType="image/png"/>
  <Override PartName="/word/media/rId94.png" ContentType="image/png"/>
  <Override PartName="/word/media/rId1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0" w:name="迁移平台软件设计说明书"/>
    <w:p>
      <w:pPr>
        <w:pStyle w:val="Heading1"/>
      </w:pPr>
      <w:r>
        <w:t xml:space="preserve">迁移平台软件设计说明书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迁移平台软件设计说明书（SDD）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适用范围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异构数据迁移平台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修订历史"/>
    <w:p>
      <w:pPr>
        <w:pStyle w:val="Heading2"/>
      </w:pPr>
      <w:r>
        <w:t xml:space="preserve">修订历史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760"/>
        <w:gridCol w:w="220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修订人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修订说明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初稿：基于总体设计编制 SDD，完成架构、模块、流程与非功能设计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修订：完善模块划分、流程衔接与部署视图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模块图改为分层嵌套风格；精简模块介绍；规范架构与流程写法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优化流程/模块图可读性；完善交付文档索引与概述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评审稿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目录"/>
    <w:p>
      <w:pPr>
        <w:pStyle w:val="Heading2"/>
      </w:pPr>
      <w:r>
        <w:t xml:space="preserve">目录</w:t>
      </w:r>
    </w:p>
    <w:p>
      <w:pPr>
        <w:numPr>
          <w:ilvl w:val="0"/>
          <w:numId w:val="1001"/>
        </w:numPr>
        <w:pStyle w:val="Compact"/>
      </w:pPr>
      <w:hyperlink w:anchor="X9e0e48bd65310e5622b496d9e969f57a0000021">
        <w:r>
          <w:rPr>
            <w:rStyle w:val="Hyperlink"/>
          </w:rPr>
          <w:t xml:space="preserve">引言</w:t>
        </w:r>
      </w:hyperlink>
    </w:p>
    <w:p>
      <w:pPr>
        <w:numPr>
          <w:ilvl w:val="0"/>
          <w:numId w:val="1001"/>
        </w:numPr>
        <w:pStyle w:val="Compact"/>
      </w:pPr>
      <w:hyperlink w:anchor="X5d5c833c6331a6fdd93939c1e36e4876f1ededc">
        <w:r>
          <w:rPr>
            <w:rStyle w:val="Hyperlink"/>
          </w:rPr>
          <w:t xml:space="preserve">系统概述</w:t>
        </w:r>
      </w:hyperlink>
    </w:p>
    <w:p>
      <w:pPr>
        <w:numPr>
          <w:ilvl w:val="0"/>
          <w:numId w:val="1001"/>
        </w:numPr>
        <w:pStyle w:val="Compact"/>
      </w:pPr>
      <w:hyperlink w:anchor="Xe175c6cdf95dbb22b778d719aab929cdb27c37e">
        <w:r>
          <w:rPr>
            <w:rStyle w:val="Hyperlink"/>
          </w:rPr>
          <w:t xml:space="preserve">系统架构设计</w:t>
        </w:r>
      </w:hyperlink>
    </w:p>
    <w:p>
      <w:pPr>
        <w:numPr>
          <w:ilvl w:val="0"/>
          <w:numId w:val="1001"/>
        </w:numPr>
        <w:pStyle w:val="Compact"/>
      </w:pPr>
      <w:hyperlink w:anchor="Xaf848ca504b450bc4c547ecd153dcd880b9398b">
        <w:r>
          <w:rPr>
            <w:rStyle w:val="Hyperlink"/>
          </w:rPr>
          <w:t xml:space="preserve">模块设计</w:t>
        </w:r>
      </w:hyperlink>
    </w:p>
    <w:p>
      <w:pPr>
        <w:numPr>
          <w:ilvl w:val="0"/>
          <w:numId w:val="1001"/>
        </w:numPr>
        <w:pStyle w:val="Compact"/>
      </w:pPr>
      <w:hyperlink w:anchor="X27d17861cee52505a025e5f81b82e849115e82e">
        <w:r>
          <w:rPr>
            <w:rStyle w:val="Hyperlink"/>
          </w:rPr>
          <w:t xml:space="preserve">流程设计</w:t>
        </w:r>
      </w:hyperlink>
    </w:p>
    <w:p>
      <w:pPr>
        <w:numPr>
          <w:ilvl w:val="0"/>
          <w:numId w:val="1001"/>
        </w:numPr>
        <w:pStyle w:val="Compact"/>
      </w:pPr>
      <w:hyperlink w:anchor="Xecca66658478870ba1ca656bf4bf9c7f0d1e476">
        <w:r>
          <w:rPr>
            <w:rStyle w:val="Hyperlink"/>
          </w:rPr>
          <w:t xml:space="preserve">数据与接口设计</w:t>
        </w:r>
      </w:hyperlink>
    </w:p>
    <w:p>
      <w:pPr>
        <w:numPr>
          <w:ilvl w:val="0"/>
          <w:numId w:val="1001"/>
        </w:numPr>
        <w:pStyle w:val="Compact"/>
      </w:pPr>
      <w:hyperlink w:anchor="Xa8d7e83fa8eeda238167e6c85b03b67fc9cc94c">
        <w:r>
          <w:rPr>
            <w:rStyle w:val="Hyperlink"/>
          </w:rPr>
          <w:t xml:space="preserve">调度与资源管理</w:t>
        </w:r>
      </w:hyperlink>
    </w:p>
    <w:p>
      <w:pPr>
        <w:numPr>
          <w:ilvl w:val="0"/>
          <w:numId w:val="1001"/>
        </w:numPr>
        <w:pStyle w:val="Compact"/>
      </w:pPr>
      <w:hyperlink w:anchor="X41da507473d0649edbaf4469bb35d03082b1bfc">
        <w:r>
          <w:rPr>
            <w:rStyle w:val="Hyperlink"/>
          </w:rPr>
          <w:t xml:space="preserve">非功能设计</w:t>
        </w:r>
      </w:hyperlink>
    </w:p>
    <w:p>
      <w:pPr>
        <w:numPr>
          <w:ilvl w:val="0"/>
          <w:numId w:val="1001"/>
        </w:numPr>
        <w:pStyle w:val="Compact"/>
      </w:pPr>
      <w:hyperlink w:anchor="Xee68276443e48b794b733ebd73df1c57ae95955">
        <w:r>
          <w:rPr>
            <w:rStyle w:val="Hyperlink"/>
          </w:rPr>
          <w:t xml:space="preserve">附录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6" w:name="引言"/>
    <w:p>
      <w:pPr>
        <w:pStyle w:val="Heading2"/>
      </w:pPr>
      <w:r>
        <w:t xml:space="preserve">1. 引言</w:t>
      </w:r>
    </w:p>
    <w:bookmarkStart w:id="22" w:name="编写目的"/>
    <w:p>
      <w:pPr>
        <w:pStyle w:val="Heading3"/>
      </w:pPr>
      <w:r>
        <w:t xml:space="preserve">1.1 编写目的</w:t>
      </w:r>
    </w:p>
    <w:p>
      <w:pPr>
        <w:pStyle w:val="FirstParagraph"/>
      </w:pPr>
      <w:r>
        <w:t xml:space="preserve">本文档是迁移平台软件设计说明书，描述系统架构、模块划分与迁移流程，供研发与评审使用。</w:t>
      </w:r>
    </w:p>
    <w:p>
      <w:pPr>
        <w:pStyle w:val="BodyText"/>
      </w:pPr>
      <w:r>
        <w:t xml:space="preserve">读者对象：架构师、后端/前端开发、测试工程师、运维工程师及项目评审人员。</w:t>
      </w:r>
    </w:p>
    <w:bookmarkEnd w:id="22"/>
    <w:bookmarkStart w:id="23" w:name="文档范围"/>
    <w:p>
      <w:pPr>
        <w:pStyle w:val="Heading3"/>
      </w:pPr>
      <w:r>
        <w:t xml:space="preserve">1.2 文档范围</w:t>
      </w:r>
    </w:p>
    <w:p>
      <w:pPr>
        <w:pStyle w:val="FirstParagraph"/>
      </w:pPr>
      <w:r>
        <w:rPr>
          <w:bCs/>
          <w:b/>
        </w:rPr>
        <w:t xml:space="preserve">范围内：</w:t>
      </w:r>
    </w:p>
    <w:p>
      <w:pPr>
        <w:numPr>
          <w:ilvl w:val="0"/>
          <w:numId w:val="1002"/>
        </w:numPr>
        <w:pStyle w:val="Compact"/>
      </w:pPr>
      <w:r>
        <w:t xml:space="preserve">四层逻辑架构与控制面/数据面分离设计</w:t>
      </w:r>
    </w:p>
    <w:p>
      <w:pPr>
        <w:numPr>
          <w:ilvl w:val="0"/>
          <w:numId w:val="1002"/>
        </w:numPr>
        <w:pStyle w:val="Compact"/>
      </w:pPr>
      <w:r>
        <w:t xml:space="preserve">部署视图（单机、多节点）与技术选型</w:t>
      </w:r>
    </w:p>
    <w:p>
      <w:pPr>
        <w:numPr>
          <w:ilvl w:val="0"/>
          <w:numId w:val="1002"/>
        </w:numPr>
        <w:pStyle w:val="Compact"/>
      </w:pPr>
      <w:r>
        <w:t xml:space="preserve">Migration Core、接入编排、执行能力、横切能力、运行时与插件的模块边界</w:t>
      </w:r>
    </w:p>
    <w:p>
      <w:pPr>
        <w:numPr>
          <w:ilvl w:val="0"/>
          <w:numId w:val="1002"/>
        </w:numPr>
        <w:pStyle w:val="Compact"/>
      </w:pPr>
      <w:r>
        <w:t xml:space="preserve">标准迁移流程（结构 → 全量 → 增量 → 校验 → 切换）的状态机、衔接与数据流</w:t>
      </w:r>
    </w:p>
    <w:p>
      <w:pPr>
        <w:numPr>
          <w:ilvl w:val="0"/>
          <w:numId w:val="1002"/>
        </w:numPr>
        <w:pStyle w:val="Compact"/>
      </w:pPr>
      <w:r>
        <w:t xml:space="preserve">核心数据模型、插件能力矩阵、调度资源与非功能设计</w:t>
      </w:r>
    </w:p>
    <w:p>
      <w:pPr>
        <w:pStyle w:val="FirstParagraph"/>
      </w:pPr>
      <w:r>
        <w:rPr>
          <w:bCs/>
          <w:b/>
        </w:rPr>
        <w:t xml:space="preserve">范围外：</w:t>
      </w:r>
    </w:p>
    <w:p>
      <w:pPr>
        <w:numPr>
          <w:ilvl w:val="0"/>
          <w:numId w:val="1003"/>
        </w:numPr>
        <w:pStyle w:val="Compact"/>
      </w:pPr>
      <w:r>
        <w:t xml:space="preserve">详细 API 字段级规范（另立接口文档）</w:t>
      </w:r>
    </w:p>
    <w:p>
      <w:pPr>
        <w:numPr>
          <w:ilvl w:val="0"/>
          <w:numId w:val="1003"/>
        </w:numPr>
        <w:pStyle w:val="Compact"/>
      </w:pPr>
      <w:r>
        <w:t xml:space="preserve">各数据库插件的实现细节与 SQL 方言差异清单</w:t>
      </w:r>
    </w:p>
    <w:p>
      <w:pPr>
        <w:numPr>
          <w:ilvl w:val="0"/>
          <w:numId w:val="1003"/>
        </w:numPr>
        <w:pStyle w:val="Compact"/>
      </w:pPr>
      <w:r>
        <w:t xml:space="preserve">运维手册、安装部署步骤书</w:t>
      </w:r>
    </w:p>
    <w:bookmarkEnd w:id="23"/>
    <w:bookmarkStart w:id="24" w:name="术语与缩略语"/>
    <w:p>
      <w:pPr>
        <w:pStyle w:val="Heading3"/>
      </w:pPr>
      <w:r>
        <w:t xml:space="preserve">1.3 术语与缩略语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采集、类型映射与目标端 DDL 生成执行组件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全量数据导入组件，负责存量数据切片、读取与写入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源端增量日志拉取、解析与持久化组件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 Record 应用至目标端的组件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源/目标全字段对比校验组件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组件健康监控与 HA 触发代理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统一数据抽象：全量为 Column 行模型，增量为 DML/DDL/HB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增量运行时的一致性快照，用于故障恢复与断点续传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全量迁移 Worker 进程，执行 Reader-Channel-Writer 管道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增量流式运行时，管理 IncrSync 作业调度与状态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Reader 与 Writer 之间的内存传输通道，支持背压与流控</w:t>
            </w:r>
          </w:p>
        </w:tc>
      </w:tr>
    </w:tbl>
    <w:bookmarkEnd w:id="24"/>
    <w:bookmarkStart w:id="25" w:name="参考文档"/>
    <w:p>
      <w:pPr>
        <w:pStyle w:val="Heading3"/>
      </w:pPr>
      <w:r>
        <w:t xml:space="preserve">1.4 参考文档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软件设计说明书正文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架构图、模块图、流程图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1" w:name="系统概述"/>
    <w:p>
      <w:pPr>
        <w:pStyle w:val="Heading2"/>
      </w:pPr>
      <w:r>
        <w:t xml:space="preserve">2. 系统概述</w:t>
      </w:r>
    </w:p>
    <w:bookmarkStart w:id="27" w:name="背景"/>
    <w:p>
      <w:pPr>
        <w:pStyle w:val="Heading3"/>
      </w:pPr>
      <w:r>
        <w:t xml:space="preserve">2.1 背景</w:t>
      </w:r>
    </w:p>
    <w:p>
      <w:pPr>
        <w:pStyle w:val="FirstParagraph"/>
      </w:pPr>
      <w:r>
        <w:t xml:space="preserve">企业在数据库升级、云迁移与架构转型（集中式 → 分布式）过程中，普遍面临以下挑战：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异构数据源</w:t>
      </w:r>
      <w:r>
        <w:t xml:space="preserve">：源端与目标端在类型系统、对象模型、字符集与约束语义上存在差异，结构迁移与数据写入需统一转换。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有限停机窗口</w:t>
      </w:r>
      <w:r>
        <w:t xml:space="preserve">：业务要求迁移期间尽量不停写，停机仅发生在最终切换瞬间。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全量与增量衔接</w:t>
      </w:r>
      <w:r>
        <w:t xml:space="preserve">：全量搬运期间源端持续产生变更，必须保证位点精确衔接，避免丢数或重复空洞。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多阶段运维复杂度</w:t>
      </w:r>
      <w:r>
        <w:t xml:space="preserve">：结构、全量、增量、校验、切换涉及多组件协同，需要统一编排、可观测与可回退能力。</w:t>
      </w:r>
    </w:p>
    <w:p>
      <w:pPr>
        <w:pStyle w:val="FirstParagraph"/>
      </w:pPr>
      <w:r>
        <w:t xml:space="preserve">本平台面向上述挑战，建设端到端的异构数据迁移能力，覆盖从任务创建到业务切换的完整生命周期。</w:t>
      </w:r>
    </w:p>
    <w:bookmarkEnd w:id="27"/>
    <w:bookmarkStart w:id="28" w:name="设计目标"/>
    <w:p>
      <w:pPr>
        <w:pStyle w:val="Heading3"/>
      </w:pPr>
      <w:r>
        <w:t xml:space="preserve">2.2 设计目标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95"/>
        <w:gridCol w:w="51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指标/说明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端到端迁移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 → 全量 → 增量 → 校验 → 切换，一站式完成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低停机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增量同步期间业务可继续写入源端，停机窗口压缩至切换阶段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全量位点与增量位点精确衔接，支持全字段校验与差异订正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/ IncrSync 支持 HA，故障自动检测与重建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插件化 Reader / Writer / LogAdapter / TypeMapper，快速接入新数据源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可观测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任务进度、吞吐、延迟、脏数据、差异数据全程可监控可告警</w:t>
            </w:r>
          </w:p>
        </w:tc>
      </w:tr>
    </w:tbl>
    <w:bookmarkEnd w:id="28"/>
    <w:bookmarkStart w:id="29" w:name="设计原则"/>
    <w:p>
      <w:pPr>
        <w:pStyle w:val="Heading3"/>
      </w:pPr>
      <w:r>
        <w:t xml:space="preserve">2.3 设计原则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分层解耦</w:t>
      </w:r>
      <w:r>
        <w:t xml:space="preserve">：服务接入层、流程编排层、执行引擎层、基础设施层职责清晰，各层可独立演进与扩缩容。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插件扩展</w:t>
      </w:r>
      <w:r>
        <w:t xml:space="preserve">：Reader、Writer、LogAdapter、TypeMapper 通过统一 SPI 与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注册加载，新增数据源不改动核心框架。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流程驱动</w:t>
      </w:r>
      <w:r>
        <w:t xml:space="preserve">：以状态机编排迁移阶段，子任务可并行、可重试、可回滚，阶段门控保证依赖正确。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统一数据模型</w:t>
      </w:r>
      <w:r>
        <w:t xml:space="preserve">：全量采用统一 Column 行模型；增量采用 DML / DDL / HB Record，屏蔽源端日志差异。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控制面与数据面分离</w:t>
      </w:r>
      <w:r>
        <w:t xml:space="preserve">：编排、调度、元数据属于控制平面；实际读写与日志消费属于数据平面，便于独立扩缩与故障隔离。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可观测</w:t>
      </w:r>
      <w:r>
        <w:t xml:space="preserve">：指标、日志、链路与告警贯穿任务全生命周期，支撑运维决策与 SLA 保障。</w:t>
      </w:r>
    </w:p>
    <w:bookmarkEnd w:id="29"/>
    <w:bookmarkStart w:id="30" w:name="能力范围"/>
    <w:p>
      <w:pPr>
        <w:pStyle w:val="Heading3"/>
      </w:pPr>
      <w:r>
        <w:t xml:space="preserve">2.4 能力范围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能力维度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DBCat 完成 Schema 采集、类型映射、DDL 生成与执行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FullImport + SyncWorker 完成存量数据高吞吐搬运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拉取解析 + IncrSync 应用，StreamRuntime 保障断点续传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FullVerification 全字段分片对比、差异报告与订正复检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业务切换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校验通过后执行连接串/DNS 切换，压缩停机窗口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运维能力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统一控制台、调度资源、HA、监控告警与多租户权限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5" w:name="系统架构设计"/>
    <w:p>
      <w:pPr>
        <w:pStyle w:val="Heading2"/>
      </w:pPr>
      <w:r>
        <w:t xml:space="preserve">3. 系统架构设计</w:t>
      </w:r>
    </w:p>
    <w:bookmarkStart w:id="32" w:name="设计目标与约束"/>
    <w:p>
      <w:pPr>
        <w:pStyle w:val="Heading3"/>
      </w:pPr>
      <w:r>
        <w:t xml:space="preserve">3.1 设计目标与约束</w:t>
      </w:r>
    </w:p>
    <w:p>
      <w:pPr>
        <w:pStyle w:val="FirstParagraph"/>
      </w:pPr>
      <w:r>
        <w:t xml:space="preserve">架构设计以「端到端可编排、执行可扩展、运行可观测」为目标：控制平面负责任务意图与状态，数据平面负责吞吐与延迟；执行能力通过插件适配异构库，横切能力保障调度、资源、HA 与监控。约束方面，平台需同时支持单机 PoC 与多节点生产部署，元数据为权威状态源，增量链路必须支持位点衔接与组件级高可用。</w:t>
      </w:r>
    </w:p>
    <w:bookmarkEnd w:id="32"/>
    <w:bookmarkStart w:id="36" w:name="总体逻辑架构"/>
    <w:p>
      <w:pPr>
        <w:pStyle w:val="Heading3"/>
      </w:pPr>
      <w:r>
        <w:t xml:space="preserve">3.2 总体逻辑架构</w:t>
      </w:r>
    </w:p>
    <w:p>
      <w:pPr>
        <w:pStyle w:val="FirstParagraph"/>
      </w:pPr>
      <w:r>
        <w:t xml:space="preserve">平台采用</w:t>
      </w:r>
      <w:r>
        <w:t xml:space="preserve"> </w:t>
      </w:r>
      <w:r>
        <w:rPr>
          <w:bCs/>
          <w:b/>
        </w:rPr>
        <w:t xml:space="preserve">四层架构 + 数据平面</w:t>
      </w:r>
      <w:r>
        <w:t xml:space="preserve"> </w:t>
      </w:r>
      <w:r>
        <w:t xml:space="preserve">模型：自上而下为服务接入层、流程编排层、执行引擎层、基础设施层；源库、目标库与增量日志存储构成独立数据平面。</w:t>
      </w:r>
    </w:p>
    <w:p>
      <w:pPr>
        <w:pStyle w:val="CaptionedFigure"/>
      </w:pPr>
      <w:r>
        <w:drawing>
          <wp:inline>
            <wp:extent cx="5334000" cy="4143099"/>
            <wp:effectExtent b="0" l="0" r="0" t="0"/>
            <wp:docPr descr="图3-1 系统逻辑架构图" title="" id="34" name="Picture"/>
            <a:graphic>
              <a:graphicData uri="http://schemas.openxmlformats.org/drawingml/2006/picture">
                <pic:pic>
                  <pic:nvPicPr>
                    <pic:cNvPr descr="images/fig3-1-logical-architectur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3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图3-1 系统逻辑架构图</w:t>
      </w:r>
    </w:p>
    <w:p>
      <w:pPr>
        <w:pStyle w:val="BodyText"/>
      </w:pPr>
      <w:r>
        <w:rPr>
          <w:bCs/>
          <w:b/>
        </w:rPr>
        <w:t xml:space="preserve">图 3-1 系统逻辑架构图</w:t>
      </w:r>
    </w:p>
    <w:p>
      <w:pPr>
        <w:pStyle w:val="BodyText"/>
      </w:pPr>
      <w:r>
        <w:rPr>
          <w:bCs/>
          <w:b/>
        </w:rPr>
        <w:t xml:space="preserve">服务接入层</w:t>
      </w:r>
      <w:r>
        <w:t xml:space="preserve">面向用户与外部系统，提供控制台 UI、统一 API 网关与认证鉴权。该层不承载迁移业务逻辑，而是将操作请求规范化后下发至编排层，并回传任务状态、进度与告警信息。通过网关集中处理鉴权、限流、路由与审计，业务服务可专注领域能力。</w:t>
      </w:r>
    </w:p>
    <w:p>
      <w:pPr>
        <w:pStyle w:val="BodyText"/>
      </w:pPr>
      <w:r>
        <w:rPr>
          <w:bCs/>
          <w:b/>
        </w:rPr>
        <w:t xml:space="preserve">流程编排层</w:t>
      </w:r>
      <w:r>
        <w:t xml:space="preserve">是迁移任务的「大脑」，包含任务编排服务、工作流服务、元数据服务与数据源注册中心。编排服务维护 MigrationProject / MigrationTask 生命周期；工作流以状态机驱动各阶段子任务；元数据服务持久化配置、位点、映射与组件注册；数据源注册中心统一管理连接与凭证。该层只做决策与状态管理，不直接搬运业务数据。</w:t>
      </w:r>
    </w:p>
    <w:p>
      <w:pPr>
        <w:pStyle w:val="BodyText"/>
      </w:pPr>
      <w:r>
        <w:rPr>
          <w:bCs/>
          <w:b/>
        </w:rPr>
        <w:t xml:space="preserve">执行引擎层</w:t>
      </w:r>
      <w:r>
        <w:t xml:space="preserve">落实具体迁移动作，包括 DBCat（结构）、FullImport（全量）、Store（增量拉取）、IncrSync（增量应用）与 FullVerification（校验）。各组件由工作流按阶段启动，通过 SyncWorker / StreamRuntime 与插件完成读写。执行层向上回报进度与完成事件，向下访问源/目标库及增量日志存储。</w:t>
      </w:r>
    </w:p>
    <w:p>
      <w:pPr>
        <w:pStyle w:val="BodyText"/>
      </w:pPr>
      <w:r>
        <w:rPr>
          <w:bCs/>
          <w:b/>
        </w:rPr>
        <w:t xml:space="preserve">基础设施层</w:t>
      </w:r>
      <w:r>
        <w:t xml:space="preserve">为上层提供调度器、资源池、HA 组件、监控告警与 Supervisor 等横切支撑。调度器将作业分配到 Worker；资源池管理配额与弹性；HA 与 Supervisor 保障 Store / IncrSync 可用性；监控告警汇聚吞吐、延迟与健康指标。</w:t>
      </w:r>
    </w:p>
    <w:p>
      <w:pPr>
        <w:pStyle w:val="BodyText"/>
      </w:pPr>
      <w:r>
        <w:rPr>
          <w:bCs/>
          <w:b/>
        </w:rPr>
        <w:t xml:space="preserve">层间交互</w:t>
      </w:r>
      <w:r>
        <w:t xml:space="preserve">：用户经接入层发起任务 → 编排层完成预检查并推进状态机 → 调度器为执行组件申请资源 → 执行引擎在数据平面读写 → 位点与状态回写元数据 → 监控与 HA 持续守护运行态。控制指令自上而下，状态与指标自下而上，形成闭环。</w:t>
      </w:r>
    </w:p>
    <w:bookmarkEnd w:id="36"/>
    <w:bookmarkStart w:id="40" w:name="模块划分"/>
    <w:p>
      <w:pPr>
        <w:pStyle w:val="Heading3"/>
      </w:pPr>
      <w:r>
        <w:t xml:space="preserve">3.3 模块划分</w:t>
      </w:r>
    </w:p>
    <w:p>
      <w:pPr>
        <w:pStyle w:val="CaptionedFigure"/>
      </w:pPr>
      <w:r>
        <w:drawing>
          <wp:inline>
            <wp:extent cx="5334000" cy="1109965"/>
            <wp:effectExtent b="0" l="0" r="0" t="0"/>
            <wp:docPr descr="图3-2 模块组成图" title="" id="38" name="Picture"/>
            <a:graphic>
              <a:graphicData uri="http://schemas.openxmlformats.org/drawingml/2006/picture">
                <pic:pic>
                  <pic:nvPicPr>
                    <pic:cNvPr descr="images/fig3-2-module-composi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9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图3-2 模块组成图</w:t>
      </w:r>
    </w:p>
    <w:p>
      <w:pPr>
        <w:pStyle w:val="BodyText"/>
      </w:pPr>
      <w:r>
        <w:rPr>
          <w:bCs/>
          <w:b/>
        </w:rPr>
        <w:t xml:space="preserve">图 3-2 模块组成图</w:t>
      </w:r>
    </w:p>
    <w:p>
      <w:pPr>
        <w:pStyle w:val="BodyText"/>
      </w:pPr>
      <w:r>
        <w:t xml:space="preserve">模块组成采用分层嵌套布局：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外层「迁移平台」</w:t>
      </w:r>
      <w:r>
        <w:t xml:space="preserve">：完整系统边界。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内层「迁移框架」</w:t>
      </w:r>
      <w:r>
        <w:t xml:space="preserve">：中部为功能模块（接入与编排、结构与元数据、全量与校验、增量同步）；侧向为横切能力（监控、调度与 HA、Supervisor）；底部为 Migration Core。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Migration Core</w:t>
      </w:r>
      <w:r>
        <w:t xml:space="preserve">：Record 模型、Channel、插件容器、配置中心、通信统计。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外部系统</w:t>
      </w:r>
      <w:r>
        <w:t xml:space="preserve">：源库、目标库、元库、消息与对象存储，由平台受控访问。</w:t>
      </w:r>
    </w:p>
    <w:p>
      <w:pPr>
        <w:pStyle w:val="FirstParagraph"/>
      </w:pPr>
      <w:r>
        <w:t xml:space="preserve">主链路：控制台 → API → 任务编排 / 工作流 → 执行模块 → 源/目标库；元数据与监控贯穿全程。</w:t>
      </w:r>
    </w:p>
    <w:bookmarkEnd w:id="40"/>
    <w:bookmarkStart w:id="44" w:name="控制平面与数据平面"/>
    <w:p>
      <w:pPr>
        <w:pStyle w:val="Heading3"/>
      </w:pPr>
      <w:r>
        <w:t xml:space="preserve">3.4 控制平面与数据平面</w:t>
      </w:r>
    </w:p>
    <w:p>
      <w:pPr>
        <w:pStyle w:val="CaptionedFigure"/>
      </w:pPr>
      <w:r>
        <w:drawing>
          <wp:inline>
            <wp:extent cx="5334000" cy="1986642"/>
            <wp:effectExtent b="0" l="0" r="0" t="0"/>
            <wp:docPr descr="图3-3 控制平面与数据平面分离图" title="" id="42" name="Picture"/>
            <a:graphic>
              <a:graphicData uri="http://schemas.openxmlformats.org/drawingml/2006/picture">
                <pic:pic>
                  <pic:nvPicPr>
                    <pic:cNvPr descr="images/fig3-3-control-data-plan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6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图3-3 控制平面与数据平面分离图</w:t>
      </w:r>
    </w:p>
    <w:p>
      <w:pPr>
        <w:pStyle w:val="BodyText"/>
      </w:pPr>
      <w:r>
        <w:rPr>
          <w:bCs/>
          <w:b/>
        </w:rPr>
        <w:t xml:space="preserve">图 3-3 控制平面与数据平面分离图</w:t>
      </w:r>
    </w:p>
    <w:p>
      <w:pPr>
        <w:pStyle w:val="BodyText"/>
      </w:pPr>
      <w:r>
        <w:rPr>
          <w:bCs/>
          <w:b/>
        </w:rPr>
        <w:t xml:space="preserve">控制平面</w:t>
      </w:r>
      <w:r>
        <w:t xml:space="preserve">包含 API 服务、编排引擎、工作流、调度器、元数据库与认证鉴权，负责任务意图表达、阶段推进、资源配置与状态持久化。控制平面不承载大流量数据拷贝，其可用性优先于吞吐。</w:t>
      </w:r>
    </w:p>
    <w:p>
      <w:pPr>
        <w:pStyle w:val="BodyText"/>
      </w:pPr>
      <w:r>
        <w:rPr>
          <w:bCs/>
          <w:b/>
        </w:rPr>
        <w:t xml:space="preserve">数据平面</w:t>
      </w:r>
      <w:r>
        <w:t xml:space="preserve">包含 SyncWorker、StreamRuntime、执行组件进程以及源/目标数据库与增量日志存储，负责实际数据读写、日志解析与 Record 应用。数据平面按吞吐与延迟目标独立扩缩。</w:t>
      </w:r>
    </w:p>
    <w:p>
      <w:pPr>
        <w:pStyle w:val="BodyText"/>
      </w:pPr>
      <w:r>
        <w:rPr>
          <w:bCs/>
          <w:b/>
        </w:rPr>
        <w:t xml:space="preserve">边界与交互</w:t>
      </w:r>
      <w:r>
        <w:t xml:space="preserve">：控制平面通过调度器下发作业规格与启停指令；数据平面通过回调与位点上报回写元数据；Supervisor / HA 在数据平面异常时由控制平面决策重建。两者解耦后，编排升级不影响在途数据作业，Worker 扩容也不必改动控制服务拓扑。</w:t>
      </w:r>
    </w:p>
    <w:bookmarkEnd w:id="44"/>
    <w:bookmarkStart w:id="53" w:name="部署视图"/>
    <w:p>
      <w:pPr>
        <w:pStyle w:val="Heading3"/>
      </w:pPr>
      <w:r>
        <w:t xml:space="preserve">3.5 部署视图</w:t>
      </w:r>
    </w:p>
    <w:bookmarkStart w:id="48" w:name="单机部署"/>
    <w:p>
      <w:pPr>
        <w:pStyle w:val="Heading4"/>
      </w:pPr>
      <w:r>
        <w:t xml:space="preserve">3.5.1 单机部署</w:t>
      </w:r>
    </w:p>
    <w:p>
      <w:pPr>
        <w:pStyle w:val="CaptionedFigure"/>
      </w:pPr>
      <w:r>
        <w:drawing>
          <wp:inline>
            <wp:extent cx="5334000" cy="4539915"/>
            <wp:effectExtent b="0" l="0" r="0" t="0"/>
            <wp:docPr descr="图3-4 单机部署架构图" title="" id="46" name="Picture"/>
            <a:graphic>
              <a:graphicData uri="http://schemas.openxmlformats.org/drawingml/2006/picture">
                <pic:pic>
                  <pic:nvPicPr>
                    <pic:cNvPr descr="images/fig3-4-single-node-deplo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9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图3-4 单机部署架构图</w:t>
      </w:r>
    </w:p>
    <w:p>
      <w:pPr>
        <w:pStyle w:val="BodyText"/>
      </w:pPr>
      <w:r>
        <w:rPr>
          <w:bCs/>
          <w:b/>
        </w:rPr>
        <w:t xml:space="preserve">图 3-4 单机部署架构图</w:t>
      </w:r>
    </w:p>
    <w:p>
      <w:pPr>
        <w:pStyle w:val="BodyText"/>
      </w:pPr>
      <w:r>
        <w:t xml:space="preserve">单机（All-in-One）模式将控制台、API、编排服务、元数据库、SyncWorker 与 StreamRuntime 部署于同一节点，适用于开发调试与 PoC 验证。该模式下 HA 可关闭，重点验证流程正确性与插件连通性。</w:t>
      </w:r>
    </w:p>
    <w:bookmarkEnd w:id="48"/>
    <w:bookmarkStart w:id="52" w:name="多节点部署"/>
    <w:p>
      <w:pPr>
        <w:pStyle w:val="Heading4"/>
      </w:pPr>
      <w:r>
        <w:t xml:space="preserve">3.5.2 多节点部署</w:t>
      </w:r>
    </w:p>
    <w:p>
      <w:pPr>
        <w:pStyle w:val="CaptionedFigure"/>
      </w:pPr>
      <w:r>
        <w:drawing>
          <wp:inline>
            <wp:extent cx="5334000" cy="2474976"/>
            <wp:effectExtent b="0" l="0" r="0" t="0"/>
            <wp:docPr descr="图3-5 多节点 HA 部署架构图" title="" id="50" name="Picture"/>
            <a:graphic>
              <a:graphicData uri="http://schemas.openxmlformats.org/drawingml/2006/picture">
                <pic:pic>
                  <pic:nvPicPr>
                    <pic:cNvPr descr="images/fig3-5-multi-node-ha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图3-5 多节点 HA 部署架构图</w:t>
      </w:r>
    </w:p>
    <w:p>
      <w:pPr>
        <w:pStyle w:val="BodyText"/>
      </w:pPr>
      <w:r>
        <w:rPr>
          <w:bCs/>
          <w:b/>
        </w:rPr>
        <w:t xml:space="preserve">图 3-5 多节点 HA 部署架构图</w:t>
      </w:r>
    </w:p>
    <w:p>
      <w:pPr>
        <w:pStyle w:val="BodyText"/>
      </w:pPr>
      <w:r>
        <w:t xml:space="preserve">生产环境采用多节点部署：接入与编排服务经负载均衡/VIP 对外提供；元数据库与协调服务（ZooKeeper / etcd）独立高可用；Worker 节点池承载 SyncWorker 与 StreamRuntime；每台 Worker 部署 Supervisor。Store 宜靠近源端，IncrSync 宜靠近目标端，由调度亲和策略落实。Store / IncrSync 支持跨节点 HA 切换。</w:t>
      </w:r>
    </w:p>
    <w:p>
      <w:pPr>
        <w:pStyle w:val="BodyText"/>
      </w:pPr>
      <w:r>
        <w:t xml:space="preserve">多地域场景（演进项）可将 Store 部署在源端地域、IncrSync 部署在目标端地域，由统一元数据与集群管理跨地域协调。</w:t>
      </w:r>
    </w:p>
    <w:bookmarkEnd w:id="52"/>
    <w:bookmarkEnd w:id="53"/>
    <w:bookmarkStart w:id="54" w:name="技术选型"/>
    <w:p>
      <w:pPr>
        <w:pStyle w:val="Heading3"/>
      </w:pPr>
      <w:r>
        <w:t xml:space="preserve">3.6 技术选型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360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 17 + Spring Boot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与插件 SPI、Worker 运行时技术栈一致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SyncWorker + Reader/Writer 插件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平台内全量管道运行时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StreamRuntime + LogAdapter 插件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平台内增量流式运行时与 Checkpoint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前端控制台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任务管理、进度大盘与运维操作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网关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Cloud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鉴权、限流、路由与审计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元数据库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 / 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任务配置、位点、映射与组件注册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时序监控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指标存储与查询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协调服务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ZooKeeper / etcd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 选主、组件注册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容器编排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节点弹性调度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82" w:name="模块设计"/>
    <w:p>
      <w:pPr>
        <w:pStyle w:val="Heading2"/>
      </w:pPr>
      <w:r>
        <w:t xml:space="preserve">4. 模块设计</w:t>
      </w:r>
    </w:p>
    <w:p>
      <w:pPr>
        <w:pStyle w:val="FirstParagraph"/>
      </w:pPr>
      <w:r>
        <w:t xml:space="preserve">本章按</w:t>
      </w:r>
      <w:r>
        <w:t xml:space="preserve"> </w:t>
      </w:r>
      <w:r>
        <w:rPr>
          <w:bCs/>
          <w:b/>
        </w:rPr>
        <w:t xml:space="preserve">Migration Core、接入与编排、执行能力、横切能力、运行时与插件</w:t>
      </w:r>
      <w:r>
        <w:t xml:space="preserve"> </w:t>
      </w:r>
      <w:r>
        <w:t xml:space="preserve">分区介绍。各模块仅描述职责、能力要点与对外接口。</w:t>
      </w:r>
    </w:p>
    <w:bookmarkStart w:id="56" w:name="migration-core核心层"/>
    <w:p>
      <w:pPr>
        <w:pStyle w:val="Heading3"/>
      </w:pPr>
      <w:r>
        <w:t xml:space="preserve">4.0 Migration Core（核心层）</w:t>
      </w:r>
    </w:p>
    <w:p>
      <w:pPr>
        <w:pStyle w:val="FirstParagraph"/>
      </w:pPr>
      <w:r>
        <w:t xml:space="preserve">Migration Core 是执行框架的公共底座，为全量管道与增量流式处理提供统一抽象：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Record 模型</w:t>
      </w:r>
      <w:r>
        <w:t xml:space="preserve">：全量使用 Column 行 Record；增量使用 DML / DDL / HB，屏蔽源端差异。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Channel</w:t>
      </w:r>
      <w:r>
        <w:t xml:space="preserve">：Reader 与 Writer 之间的内存通道，支持字节容量背压与流控。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插件容器</w:t>
      </w:r>
      <w:r>
        <w:t xml:space="preserve">：按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注册，ClassLoader 隔离加载 Reader / Writer / LogAdapter / TypeMapper。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配置中心</w:t>
      </w:r>
      <w:r>
        <w:t xml:space="preserve">：作业规格、限速、并发、Checkpoint 等运行参数的统一下发与校验。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通信统计</w:t>
      </w:r>
      <w:r>
        <w:t xml:space="preserve">：汇聚 byteSpeed、recordSpeed、脏数据计数等，供监控与编排消费。</w:t>
      </w:r>
    </w:p>
    <w:p>
      <w:r>
        <w:pict>
          <v:rect style="width:0;height:1.5pt" o:hralign="center" o:hrstd="t" o:hr="t"/>
        </w:pict>
      </w:r>
    </w:p>
    <w:bookmarkEnd w:id="56"/>
    <w:bookmarkStart w:id="64" w:name="接入与编排"/>
    <w:p>
      <w:pPr>
        <w:pStyle w:val="Heading3"/>
      </w:pPr>
      <w:r>
        <w:t xml:space="preserve">4.1 接入与编排</w:t>
      </w:r>
    </w:p>
    <w:bookmarkStart w:id="57" w:name="控制台-ui"/>
    <w:p>
      <w:pPr>
        <w:pStyle w:val="Heading4"/>
      </w:pPr>
      <w:r>
        <w:t xml:space="preserve">4.1.1 控制台 UI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Web 管理控制台，提供迁移任务全生命周期可视化管理，是平台主要人机交互入口。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08"/>
        </w:numPr>
        <w:pStyle w:val="Compact"/>
      </w:pPr>
      <w:r>
        <w:t xml:space="preserve">任务向导：创建项目、配置源/目标、选择对象与同步策略</w:t>
      </w:r>
    </w:p>
    <w:p>
      <w:pPr>
        <w:numPr>
          <w:ilvl w:val="0"/>
          <w:numId w:val="1008"/>
        </w:numPr>
        <w:pStyle w:val="Compact"/>
      </w:pPr>
      <w:r>
        <w:t xml:space="preserve">进度大盘：阶段状态、吞吐、延迟、表/行进度</w:t>
      </w:r>
    </w:p>
    <w:p>
      <w:pPr>
        <w:numPr>
          <w:ilvl w:val="0"/>
          <w:numId w:val="1008"/>
        </w:numPr>
        <w:pStyle w:val="Compact"/>
      </w:pPr>
      <w:r>
        <w:t xml:space="preserve">日志与告警：子任务日志检索、告警规则与通知渠道</w:t>
      </w:r>
    </w:p>
    <w:p>
      <w:pPr>
        <w:numPr>
          <w:ilvl w:val="0"/>
          <w:numId w:val="1008"/>
        </w:numPr>
        <w:pStyle w:val="Compact"/>
      </w:pPr>
      <w:r>
        <w:t xml:space="preserve">系统管理：资源配额、HA 参数、插件目录浏览</w:t>
      </w:r>
    </w:p>
    <w:p>
      <w:pPr>
        <w:numPr>
          <w:ilvl w:val="0"/>
          <w:numId w:val="1008"/>
        </w:numPr>
        <w:pStyle w:val="Compact"/>
      </w:pPr>
      <w:r>
        <w:t xml:space="preserve">RBAC 菜单权限与 WebSocket/SSE 状态推送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09"/>
        </w:numPr>
        <w:pStyle w:val="Compact"/>
      </w:pPr>
      <w:r>
        <w:t xml:space="preserve">输入：用户操作、查询筛选、告警与系统配置</w:t>
      </w:r>
    </w:p>
    <w:p>
      <w:pPr>
        <w:numPr>
          <w:ilvl w:val="0"/>
          <w:numId w:val="1009"/>
        </w:numPr>
        <w:pStyle w:val="Compact"/>
      </w:pPr>
      <w:r>
        <w:t xml:space="preserve">输出：经 API 网关的 REST 请求；页面渲染状态/指标/报告</w:t>
      </w:r>
    </w:p>
    <w:p>
      <w:pPr>
        <w:numPr>
          <w:ilvl w:val="0"/>
          <w:numId w:val="1009"/>
        </w:numPr>
        <w:pStyle w:val="Compact"/>
      </w:pPr>
      <w:r>
        <w:t xml:space="preserve">依赖：API 网关</w:t>
      </w:r>
    </w:p>
    <w:bookmarkEnd w:id="57"/>
    <w:bookmarkStart w:id="58" w:name="api-网关"/>
    <w:p>
      <w:pPr>
        <w:pStyle w:val="Heading4"/>
      </w:pPr>
      <w:r>
        <w:t xml:space="preserve">4.1.2 API 网关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平台统一北向入口，对外暴露 RESTful OpenAPI，对内路由至编排、元数据等服务。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10"/>
        </w:numPr>
        <w:pStyle w:val="Compact"/>
      </w:pPr>
      <w:r>
        <w:t xml:space="preserve">路径路由、多版本共存（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等）</w:t>
      </w:r>
    </w:p>
    <w:p>
      <w:pPr>
        <w:numPr>
          <w:ilvl w:val="0"/>
          <w:numId w:val="1010"/>
        </w:numPr>
        <w:pStyle w:val="Compact"/>
      </w:pPr>
      <w:r>
        <w:t xml:space="preserve">Token 鉴权与租户/用户上下文注入</w:t>
      </w:r>
    </w:p>
    <w:p>
      <w:pPr>
        <w:numPr>
          <w:ilvl w:val="0"/>
          <w:numId w:val="1010"/>
        </w:numPr>
        <w:pStyle w:val="Compact"/>
      </w:pPr>
      <w:r>
        <w:t xml:space="preserve">按租户/API 限流熔断与写操作审计</w:t>
      </w:r>
    </w:p>
    <w:p>
      <w:pPr>
        <w:numPr>
          <w:ilvl w:val="0"/>
          <w:numId w:val="1010"/>
        </w:numPr>
        <w:pStyle w:val="Compact"/>
      </w:pPr>
      <w:r>
        <w:t xml:space="preserve">幂等键支持任务创建等防重写操作</w:t>
      </w:r>
    </w:p>
    <w:p>
      <w:pPr>
        <w:numPr>
          <w:ilvl w:val="0"/>
          <w:numId w:val="1010"/>
        </w:numPr>
        <w:pStyle w:val="Compact"/>
      </w:pPr>
      <w:r>
        <w:t xml:space="preserve">CLI/SDK 与控制台共用同一套 API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11"/>
        </w:numPr>
        <w:pStyle w:val="Compact"/>
      </w:pPr>
      <w:r>
        <w:t xml:space="preserve">输入：控制台、CLI/SDK、外部系统的 HTTP(S) 请求</w:t>
      </w:r>
    </w:p>
    <w:p>
      <w:pPr>
        <w:numPr>
          <w:ilvl w:val="0"/>
          <w:numId w:val="1011"/>
        </w:numPr>
        <w:pStyle w:val="Compact"/>
      </w:pPr>
      <w:r>
        <w:t xml:space="preserve">输出：内部服务调用；统一 JSON 响应</w:t>
      </w:r>
    </w:p>
    <w:p>
      <w:pPr>
        <w:numPr>
          <w:ilvl w:val="0"/>
          <w:numId w:val="1011"/>
        </w:numPr>
        <w:pStyle w:val="Compact"/>
      </w:pPr>
      <w:r>
        <w:t xml:space="preserve">依赖：认证鉴权、任务编排、元数据服务</w:t>
      </w:r>
    </w:p>
    <w:bookmarkEnd w:id="58"/>
    <w:bookmarkStart w:id="59" w:name="认证鉴权"/>
    <w:p>
      <w:pPr>
        <w:pStyle w:val="Heading4"/>
      </w:pPr>
      <w:r>
        <w:t xml:space="preserve">4.1.3 认证鉴权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提供身份认证、RBAC 授权、多租户隔离与操作审计，保障多租户安全合规。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12"/>
        </w:numPr>
        <w:pStyle w:val="Compact"/>
      </w:pPr>
      <w:r>
        <w:t xml:space="preserve">用户名密码、LDAP/SSO 集成</w:t>
      </w:r>
    </w:p>
    <w:p>
      <w:pPr>
        <w:numPr>
          <w:ilvl w:val="0"/>
          <w:numId w:val="1012"/>
        </w:numPr>
        <w:pStyle w:val="Compact"/>
      </w:pPr>
      <w:r>
        <w:t xml:space="preserve">角色-权限-资源模型与租户配额隔离</w:t>
      </w:r>
    </w:p>
    <w:p>
      <w:pPr>
        <w:numPr>
          <w:ilvl w:val="0"/>
          <w:numId w:val="1012"/>
        </w:numPr>
        <w:pStyle w:val="Compact"/>
      </w:pPr>
      <w:r>
        <w:t xml:space="preserve">数据源凭证加密存储与按需解密</w:t>
      </w:r>
    </w:p>
    <w:p>
      <w:pPr>
        <w:numPr>
          <w:ilvl w:val="0"/>
          <w:numId w:val="1012"/>
        </w:numPr>
        <w:pStyle w:val="Compact"/>
      </w:pPr>
      <w:r>
        <w:t xml:space="preserve">敏感操作二次确认与审计异步落库</w:t>
      </w:r>
    </w:p>
    <w:p>
      <w:pPr>
        <w:numPr>
          <w:ilvl w:val="0"/>
          <w:numId w:val="1012"/>
        </w:numPr>
        <w:pStyle w:val="Compact"/>
      </w:pPr>
      <w:r>
        <w:t xml:space="preserve">网关 fail-close：鉴权超时默认拒绝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13"/>
        </w:numPr>
        <w:pStyle w:val="Compact"/>
      </w:pPr>
      <w:r>
        <w:t xml:space="preserve">输入：登录凭证、权限校验请求、审计事件</w:t>
      </w:r>
    </w:p>
    <w:p>
      <w:pPr>
        <w:numPr>
          <w:ilvl w:val="0"/>
          <w:numId w:val="1013"/>
        </w:numPr>
        <w:pStyle w:val="Compact"/>
      </w:pPr>
      <w:r>
        <w:t xml:space="preserve">输出：Access Token、权限判定、审计记录</w:t>
      </w:r>
    </w:p>
    <w:p>
      <w:pPr>
        <w:numPr>
          <w:ilvl w:val="0"/>
          <w:numId w:val="1013"/>
        </w:numPr>
        <w:pStyle w:val="Compact"/>
      </w:pPr>
      <w:r>
        <w:t xml:space="preserve">依赖：元数据库、密钥管理（KMS）</w:t>
      </w:r>
    </w:p>
    <w:bookmarkEnd w:id="59"/>
    <w:bookmarkStart w:id="60" w:name="任务编排服务"/>
    <w:p>
      <w:pPr>
        <w:pStyle w:val="Heading4"/>
      </w:pPr>
      <w:r>
        <w:t xml:space="preserve">4.1.4 任务编排服务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迁移任务全生命周期管理的核心域服务，维护 MigrationProject / MigrationTask 及用户可见状态。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14"/>
        </w:numPr>
        <w:pStyle w:val="Compact"/>
      </w:pPr>
      <w:r>
        <w:t xml:space="preserve">任务 CRUD 与启动/暂停/恢复/终止/重试</w:t>
      </w:r>
    </w:p>
    <w:p>
      <w:pPr>
        <w:numPr>
          <w:ilvl w:val="0"/>
          <w:numId w:val="1014"/>
        </w:numPr>
        <w:pStyle w:val="Compact"/>
      </w:pPr>
      <w:r>
        <w:t xml:space="preserve">预检查：连通性、权限、版本兼容性</w:t>
      </w:r>
    </w:p>
    <w:p>
      <w:pPr>
        <w:numPr>
          <w:ilvl w:val="0"/>
          <w:numId w:val="1014"/>
        </w:numPr>
        <w:pStyle w:val="Compact"/>
      </w:pPr>
      <w:r>
        <w:t xml:space="preserve">阶段门控：前序子任务成功后才进入下一阶段</w:t>
      </w:r>
    </w:p>
    <w:p>
      <w:pPr>
        <w:numPr>
          <w:ilvl w:val="0"/>
          <w:numId w:val="1014"/>
        </w:numPr>
        <w:pStyle w:val="Compact"/>
      </w:pPr>
      <w:r>
        <w:t xml:space="preserve">进度统计聚合，供控制台展示</w:t>
      </w:r>
    </w:p>
    <w:p>
      <w:pPr>
        <w:numPr>
          <w:ilvl w:val="0"/>
          <w:numId w:val="1014"/>
        </w:numPr>
        <w:pStyle w:val="Compact"/>
      </w:pPr>
      <w:r>
        <w:t xml:space="preserve">乐观锁防并发冲突，领域事件驱动监控/审计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15"/>
        </w:numPr>
        <w:pStyle w:val="Compact"/>
      </w:pPr>
      <w:r>
        <w:t xml:space="preserve">输入：API 任务操作、工作流回调、Supervisor 告警</w:t>
      </w:r>
    </w:p>
    <w:p>
      <w:pPr>
        <w:numPr>
          <w:ilvl w:val="0"/>
          <w:numId w:val="1015"/>
        </w:numPr>
        <w:pStyle w:val="Compact"/>
      </w:pPr>
      <w:r>
        <w:t xml:space="preserve">输出：工作流启动指令、调度请求、状态变更事件</w:t>
      </w:r>
    </w:p>
    <w:p>
      <w:pPr>
        <w:numPr>
          <w:ilvl w:val="0"/>
          <w:numId w:val="1015"/>
        </w:numPr>
        <w:pStyle w:val="Compact"/>
      </w:pPr>
      <w:r>
        <w:t xml:space="preserve">依赖：工作流、元数据、数据源注册中心、调度器</w:t>
      </w:r>
    </w:p>
    <w:bookmarkEnd w:id="60"/>
    <w:bookmarkStart w:id="61" w:name="工作流服务"/>
    <w:p>
      <w:pPr>
        <w:pStyle w:val="Heading4"/>
      </w:pPr>
      <w:r>
        <w:t xml:space="preserve">4.1.5 工作流服务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子任务流水线编排引擎，以状态机驱动结构、全量、增量、校验、切换的依赖与并行策略。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16"/>
        </w:numPr>
        <w:pStyle w:val="Compact"/>
      </w:pPr>
      <w:r>
        <w:t xml:space="preserve">SubTask 状态迁移（Pending / Running / Success / Failed）</w:t>
      </w:r>
    </w:p>
    <w:p>
      <w:pPr>
        <w:numPr>
          <w:ilvl w:val="0"/>
          <w:numId w:val="1016"/>
        </w:numPr>
        <w:pStyle w:val="Compact"/>
      </w:pPr>
      <w:r>
        <w:t xml:space="preserve">阶段前置条件与 DAG 依赖解析</w:t>
      </w:r>
    </w:p>
    <w:p>
      <w:pPr>
        <w:numPr>
          <w:ilvl w:val="0"/>
          <w:numId w:val="1016"/>
        </w:numPr>
        <w:pStyle w:val="Compact"/>
      </w:pPr>
      <w:r>
        <w:t xml:space="preserve">全量/校验表级并行，增量单链路</w:t>
      </w:r>
    </w:p>
    <w:p>
      <w:pPr>
        <w:numPr>
          <w:ilvl w:val="0"/>
          <w:numId w:val="1016"/>
        </w:numPr>
        <w:pStyle w:val="Compact"/>
      </w:pPr>
      <w:r>
        <w:t xml:space="preserve">失败重试、人工介入、Repairing 订正回路</w:t>
      </w:r>
    </w:p>
    <w:p>
      <w:pPr>
        <w:numPr>
          <w:ilvl w:val="0"/>
          <w:numId w:val="1016"/>
        </w:numPr>
        <w:pStyle w:val="Compact"/>
      </w:pPr>
      <w:r>
        <w:t xml:space="preserve">先申请资源再启动组件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17"/>
        </w:numPr>
        <w:pStyle w:val="Compact"/>
      </w:pPr>
      <w:r>
        <w:t xml:space="preserve">输入：编排阶段推进指令、执行组件完成回调</w:t>
      </w:r>
    </w:p>
    <w:p>
      <w:pPr>
        <w:numPr>
          <w:ilvl w:val="0"/>
          <w:numId w:val="1017"/>
        </w:numPr>
        <w:pStyle w:val="Compact"/>
      </w:pPr>
      <w:r>
        <w:t xml:space="preserve">输出：组件启动命令、SubTask 状态、阶段完成事件</w:t>
      </w:r>
    </w:p>
    <w:p>
      <w:pPr>
        <w:numPr>
          <w:ilvl w:val="0"/>
          <w:numId w:val="1017"/>
        </w:numPr>
        <w:pStyle w:val="Compact"/>
      </w:pPr>
      <w:r>
        <w:t xml:space="preserve">依赖：各执行组件、调度器、元数据服务</w:t>
      </w:r>
    </w:p>
    <w:bookmarkEnd w:id="61"/>
    <w:bookmarkStart w:id="62" w:name="元数据服务"/>
    <w:p>
      <w:pPr>
        <w:pStyle w:val="Heading4"/>
      </w:pPr>
      <w:r>
        <w:t xml:space="preserve">4.1.6 元数据服务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平台配置与运行状态的权威持久化服务，管理任务配置、位点、映射、统计与组件注册。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18"/>
        </w:numPr>
        <w:pStyle w:val="Compact"/>
      </w:pPr>
      <w:r>
        <w:t xml:space="preserve">任务/同步参数与限速配置持久化</w:t>
      </w:r>
    </w:p>
    <w:p>
      <w:pPr>
        <w:numPr>
          <w:ilvl w:val="0"/>
          <w:numId w:val="1018"/>
        </w:numPr>
        <w:pStyle w:val="Compact"/>
      </w:pPr>
      <w:r>
        <w:t xml:space="preserve">全量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、Store 位点、Checkpoint 引用管理</w:t>
      </w:r>
    </w:p>
    <w:p>
      <w:pPr>
        <w:numPr>
          <w:ilvl w:val="0"/>
          <w:numId w:val="1018"/>
        </w:numPr>
        <w:pStyle w:val="Compact"/>
      </w:pPr>
      <w:r>
        <w:t xml:space="preserve">Schema 映射版本号与 DDL 记录</w:t>
      </w:r>
    </w:p>
    <w:p>
      <w:pPr>
        <w:numPr>
          <w:ilvl w:val="0"/>
          <w:numId w:val="1018"/>
        </w:numPr>
        <w:pStyle w:val="Compact"/>
      </w:pPr>
      <w:r>
        <w:t xml:space="preserve">组件实例注册与运行统计</w:t>
      </w:r>
    </w:p>
    <w:p>
      <w:pPr>
        <w:numPr>
          <w:ilvl w:val="0"/>
          <w:numId w:val="1018"/>
        </w:numPr>
        <w:pStyle w:val="Compact"/>
      </w:pPr>
      <w:r>
        <w:t xml:space="preserve">位点双写（本地缓存 + 元库）防脑裂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19"/>
        </w:numPr>
        <w:pStyle w:val="Compact"/>
      </w:pPr>
      <w:r>
        <w:t xml:space="preserve">输入：各服务读写请求、组件心跳与位点上报</w:t>
      </w:r>
    </w:p>
    <w:p>
      <w:pPr>
        <w:numPr>
          <w:ilvl w:val="0"/>
          <w:numId w:val="1019"/>
        </w:numPr>
        <w:pStyle w:val="Compact"/>
      </w:pPr>
      <w:r>
        <w:t xml:space="preserve">输出：配置、位点快照、映射记录</w:t>
      </w:r>
    </w:p>
    <w:p>
      <w:pPr>
        <w:numPr>
          <w:ilvl w:val="0"/>
          <w:numId w:val="1019"/>
        </w:numPr>
        <w:pStyle w:val="Compact"/>
      </w:pPr>
      <w:r>
        <w:t xml:space="preserve">依赖：元数据库（MySQL / PostgreSQL）</w:t>
      </w:r>
    </w:p>
    <w:bookmarkEnd w:id="62"/>
    <w:bookmarkStart w:id="63" w:name="数据源注册中心"/>
    <w:p>
      <w:pPr>
        <w:pStyle w:val="Heading4"/>
      </w:pPr>
      <w:r>
        <w:t xml:space="preserve">4.1.7 数据源注册中心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统一管理源端与目标端连接信息，提供连通性检测、连接池与凭证安全存储。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20"/>
        </w:numPr>
        <w:pStyle w:val="Compact"/>
      </w:pPr>
      <w:r>
        <w:t xml:space="preserve">数据源 CRUD、测试连接、类型/版本识别</w:t>
      </w:r>
    </w:p>
    <w:p>
      <w:pPr>
        <w:numPr>
          <w:ilvl w:val="0"/>
          <w:numId w:val="1020"/>
        </w:numPr>
        <w:pStyle w:val="Compact"/>
      </w:pPr>
      <w:r>
        <w:t xml:space="preserve">按数据源维护可复用连接池与探活</w:t>
      </w:r>
    </w:p>
    <w:p>
      <w:pPr>
        <w:numPr>
          <w:ilvl w:val="0"/>
          <w:numId w:val="1020"/>
        </w:numPr>
        <w:pStyle w:val="Compact"/>
      </w:pPr>
      <w:r>
        <w:t xml:space="preserve">凭证加密、租户命名空间隔离</w:t>
      </w:r>
    </w:p>
    <w:p>
      <w:pPr>
        <w:numPr>
          <w:ilvl w:val="0"/>
          <w:numId w:val="1020"/>
        </w:numPr>
        <w:pStyle w:val="Compact"/>
      </w:pPr>
      <w:r>
        <w:t xml:space="preserve">被任务引用时禁止删除（引用计数）</w:t>
      </w:r>
    </w:p>
    <w:p>
      <w:pPr>
        <w:numPr>
          <w:ilvl w:val="0"/>
          <w:numId w:val="1020"/>
        </w:numPr>
        <w:pStyle w:val="Compact"/>
      </w:pPr>
      <w:r>
        <w:t xml:space="preserve">SSL/TLS 证书集中配置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21"/>
        </w:numPr>
        <w:pStyle w:val="Compact"/>
      </w:pPr>
      <w:r>
        <w:t xml:space="preserve">输入：连接串、凭证、JDBC 扩展参数</w:t>
      </w:r>
    </w:p>
    <w:p>
      <w:pPr>
        <w:numPr>
          <w:ilvl w:val="0"/>
          <w:numId w:val="1021"/>
        </w:numPr>
        <w:pStyle w:val="Compact"/>
      </w:pPr>
      <w:r>
        <w:t xml:space="preserve">输出：数据源 ID、测试结果、受控连接获取接口</w:t>
      </w:r>
    </w:p>
    <w:p>
      <w:pPr>
        <w:numPr>
          <w:ilvl w:val="0"/>
          <w:numId w:val="1021"/>
        </w:numPr>
        <w:pStyle w:val="Compact"/>
      </w:pPr>
      <w:r>
        <w:t xml:space="preserve">依赖：认证鉴权、元数据库；被 DBCat / FullImport / Store / FullVerification 调用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0" w:name="执行能力"/>
    <w:p>
      <w:pPr>
        <w:pStyle w:val="Heading3"/>
      </w:pPr>
      <w:r>
        <w:t xml:space="preserve">4.2 执行能力</w:t>
      </w:r>
    </w:p>
    <w:bookmarkStart w:id="65" w:name="dbcat"/>
    <w:p>
      <w:pPr>
        <w:pStyle w:val="Heading4"/>
      </w:pPr>
      <w:r>
        <w:t xml:space="preserve">4.2.1 DBCat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结构迁移执行组件，负责源端 Schema 采集、异构类型映射、目标端 DDL 生成与执行。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22"/>
        </w:numPr>
        <w:pStyle w:val="Compact"/>
      </w:pPr>
      <w:r>
        <w:t xml:space="preserve">采集表、索引、约束、视图、序列等对象</w:t>
      </w:r>
    </w:p>
    <w:p>
      <w:pPr>
        <w:numPr>
          <w:ilvl w:val="0"/>
          <w:numId w:val="1022"/>
        </w:numPr>
        <w:pStyle w:val="Compact"/>
      </w:pPr>
      <w:r>
        <w:t xml:space="preserve">按源端方言解析并调用 TypeMapper 完成类型转换</w:t>
      </w:r>
    </w:p>
    <w:p>
      <w:pPr>
        <w:numPr>
          <w:ilvl w:val="0"/>
          <w:numId w:val="1022"/>
        </w:numPr>
        <w:pStyle w:val="Compact"/>
      </w:pPr>
      <w:r>
        <w:t xml:space="preserve">按依赖拓扑序生成并执行目标端 DDL</w:t>
      </w:r>
    </w:p>
    <w:p>
      <w:pPr>
        <w:numPr>
          <w:ilvl w:val="0"/>
          <w:numId w:val="1022"/>
        </w:numPr>
        <w:pStyle w:val="Compact"/>
      </w:pPr>
      <w:r>
        <w:t xml:space="preserve">映射结果写入元数据，支持规则覆盖</w:t>
      </w:r>
    </w:p>
    <w:p>
      <w:pPr>
        <w:numPr>
          <w:ilvl w:val="0"/>
          <w:numId w:val="1022"/>
        </w:numPr>
        <w:pStyle w:val="Compact"/>
      </w:pPr>
      <w:r>
        <w:t xml:space="preserve">不支持对象可降级/跳过并告警，或导出 SQL 人工修订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23"/>
        </w:numPr>
        <w:pStyle w:val="Compact"/>
      </w:pPr>
      <w:r>
        <w:t xml:space="preserve">输入：任务 ID、源/目标数据源、对象清单、映射规则</w:t>
      </w:r>
    </w:p>
    <w:p>
      <w:pPr>
        <w:numPr>
          <w:ilvl w:val="0"/>
          <w:numId w:val="1023"/>
        </w:numPr>
        <w:pStyle w:val="Compact"/>
      </w:pPr>
      <w:r>
        <w:t xml:space="preserve">输出：执行日志、映射元数据、SubTask 完成状态</w:t>
      </w:r>
    </w:p>
    <w:p>
      <w:pPr>
        <w:numPr>
          <w:ilvl w:val="0"/>
          <w:numId w:val="1023"/>
        </w:numPr>
        <w:pStyle w:val="Compact"/>
      </w:pPr>
      <w:r>
        <w:t xml:space="preserve">依赖：工作流、数据源注册中心、元数据服务、TypeMapper 插件</w:t>
      </w:r>
    </w:p>
    <w:bookmarkEnd w:id="65"/>
    <w:bookmarkStart w:id="66" w:name="fullimport"/>
    <w:p>
      <w:pPr>
        <w:pStyle w:val="Heading4"/>
      </w:pPr>
      <w:r>
        <w:t xml:space="preserve">4.2.2 FullImport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全量数据迁移执行组件，将源端存量数据高吞吐迁移至目标端。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24"/>
        </w:numPr>
        <w:pStyle w:val="Compact"/>
      </w:pPr>
      <w:r>
        <w:t xml:space="preserve">根据映射元数据生成全量作业配置</w:t>
      </w:r>
    </w:p>
    <w:p>
      <w:pPr>
        <w:numPr>
          <w:ilvl w:val="0"/>
          <w:numId w:val="1024"/>
        </w:numPr>
        <w:pStyle w:val="Compact"/>
      </w:pPr>
      <w:r>
        <w:t xml:space="preserve">按主键/分区表级切片，Task 严格 1:1 Reader-Channel-Writer</w:t>
      </w:r>
    </w:p>
    <w:p>
      <w:pPr>
        <w:numPr>
          <w:ilvl w:val="0"/>
          <w:numId w:val="1024"/>
        </w:numPr>
        <w:pStyle w:val="Compact"/>
      </w:pPr>
      <w:r>
        <w:t xml:space="preserve">Channel 背压流控、令牌桶限速与脏数据 errorLimit</w:t>
      </w:r>
    </w:p>
    <w:p>
      <w:pPr>
        <w:numPr>
          <w:ilvl w:val="0"/>
          <w:numId w:val="1024"/>
        </w:numPr>
        <w:pStyle w:val="Compact"/>
      </w:pPr>
      <w:r>
        <w:t xml:space="preserve">全量启动时记录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 </w:t>
      </w:r>
      <w:r>
        <w:t xml:space="preserve">供增量衔接</w:t>
      </w:r>
    </w:p>
    <w:p>
      <w:pPr>
        <w:numPr>
          <w:ilvl w:val="0"/>
          <w:numId w:val="1024"/>
        </w:numPr>
        <w:pStyle w:val="Compact"/>
      </w:pPr>
      <w:r>
        <w:t xml:space="preserve">Task 级 Failover 可配置重试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25"/>
        </w:numPr>
        <w:pStyle w:val="Compact"/>
      </w:pPr>
      <w:r>
        <w:t xml:space="preserve">输入：任务配置、表清单、并发度、限速参数</w:t>
      </w:r>
    </w:p>
    <w:p>
      <w:pPr>
        <w:numPr>
          <w:ilvl w:val="0"/>
          <w:numId w:val="1025"/>
        </w:numPr>
        <w:pStyle w:val="Compact"/>
      </w:pPr>
      <w:r>
        <w:t xml:space="preserve">输出：吞吐统计、</w:t>
      </w:r>
      <w:r>
        <w:rPr>
          <w:rStyle w:val="VerbatimChar"/>
        </w:rPr>
        <w:t xml:space="preserve">startPosition</w:t>
      </w:r>
      <w:r>
        <w:t xml:space="preserve">、SubTask 状态</w:t>
      </w:r>
    </w:p>
    <w:p>
      <w:pPr>
        <w:numPr>
          <w:ilvl w:val="0"/>
          <w:numId w:val="1025"/>
        </w:numPr>
        <w:pStyle w:val="Compact"/>
      </w:pPr>
      <w:r>
        <w:t xml:space="preserve">依赖：工作流、调度器、SyncWorker、Reader/Writer 插件、元数据与数据源服务</w:t>
      </w:r>
    </w:p>
    <w:bookmarkEnd w:id="66"/>
    <w:bookmarkStart w:id="67" w:name="store"/>
    <w:p>
      <w:pPr>
        <w:pStyle w:val="Heading4"/>
      </w:pPr>
      <w:r>
        <w:t xml:space="preserve">4.2.3 Store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增量日志拉取组件，从源端变更日志读取、解析为统一 Record 并持久化。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26"/>
        </w:numPr>
        <w:pStyle w:val="Compact"/>
      </w:pPr>
      <w:r>
        <w:t xml:space="preserve">通过 LogAdapter 拉取并解析源端变更日志</w:t>
      </w:r>
    </w:p>
    <w:p>
      <w:pPr>
        <w:numPr>
          <w:ilvl w:val="0"/>
          <w:numId w:val="1026"/>
        </w:numPr>
        <w:pStyle w:val="Compact"/>
      </w:pPr>
      <w:r>
        <w:t xml:space="preserve">输出统一 DML / DDL / HB Record 流</w:t>
      </w:r>
    </w:p>
    <w:p>
      <w:pPr>
        <w:numPr>
          <w:ilvl w:val="0"/>
          <w:numId w:val="1026"/>
        </w:numPr>
        <w:pStyle w:val="Compact"/>
      </w:pPr>
      <w:r>
        <w:t xml:space="preserve">从全量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 </w:t>
      </w:r>
      <w:r>
        <w:t xml:space="preserve">起拉，保证不丢变更</w:t>
      </w:r>
    </w:p>
    <w:p>
      <w:pPr>
        <w:numPr>
          <w:ilvl w:val="0"/>
          <w:numId w:val="1026"/>
        </w:numPr>
        <w:pStyle w:val="Compact"/>
      </w:pPr>
      <w:r>
        <w:t xml:space="preserve">维护生产/消费位点并上报元数据</w:t>
      </w:r>
    </w:p>
    <w:p>
      <w:pPr>
        <w:numPr>
          <w:ilvl w:val="0"/>
          <w:numId w:val="1026"/>
        </w:numPr>
        <w:pStyle w:val="Compact"/>
      </w:pPr>
      <w:r>
        <w:t xml:space="preserve">支持 HA：异常时在健康节点重建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27"/>
        </w:numPr>
        <w:pStyle w:val="Compact"/>
      </w:pPr>
      <w:r>
        <w:t xml:space="preserve">输入：数据源连接、</w:t>
      </w:r>
      <w:r>
        <w:rPr>
          <w:rStyle w:val="VerbatimChar"/>
        </w:rPr>
        <w:t xml:space="preserve">startPosition</w:t>
      </w:r>
      <w:r>
        <w:t xml:space="preserve">、订阅表清单</w:t>
      </w:r>
    </w:p>
    <w:p>
      <w:pPr>
        <w:numPr>
          <w:ilvl w:val="0"/>
          <w:numId w:val="1027"/>
        </w:numPr>
        <w:pStyle w:val="Compact"/>
      </w:pPr>
      <w:r>
        <w:t xml:space="preserve">输出：Record 流、位点、组件心跳</w:t>
      </w:r>
    </w:p>
    <w:p>
      <w:pPr>
        <w:numPr>
          <w:ilvl w:val="0"/>
          <w:numId w:val="1027"/>
        </w:numPr>
        <w:pStyle w:val="Compact"/>
      </w:pPr>
      <w:r>
        <w:t xml:space="preserve">依赖：工作流、元数据、数据源注册中心、LogAdapter；协作 Supervisor / HA</w:t>
      </w:r>
    </w:p>
    <w:bookmarkEnd w:id="67"/>
    <w:bookmarkStart w:id="68" w:name="incrsync"/>
    <w:p>
      <w:pPr>
        <w:pStyle w:val="Heading4"/>
      </w:pPr>
      <w:r>
        <w:t xml:space="preserve">4.2.4 IncrSync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增量同步执行组件，将 Store 产生的 Record 应用至目标端，由 StreamRuntime 调度运行。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28"/>
        </w:numPr>
        <w:pStyle w:val="Compact"/>
      </w:pPr>
      <w:r>
        <w:t xml:space="preserve">消费 DML / DDL / HB，完成映射转换与目标写入</w:t>
      </w:r>
    </w:p>
    <w:p>
      <w:pPr>
        <w:numPr>
          <w:ilvl w:val="0"/>
          <w:numId w:val="1028"/>
        </w:numPr>
        <w:pStyle w:val="Compact"/>
      </w:pPr>
      <w:r>
        <w:t xml:space="preserve">有主键表幂等写入；DDL 与 DML 分流处理</w:t>
      </w:r>
    </w:p>
    <w:p>
      <w:pPr>
        <w:numPr>
          <w:ilvl w:val="0"/>
          <w:numId w:val="1028"/>
        </w:numPr>
        <w:pStyle w:val="Compact"/>
      </w:pPr>
      <w:r>
        <w:t xml:space="preserve">Checkpoint 周期性一致性快照，支持断点续传</w:t>
      </w:r>
    </w:p>
    <w:p>
      <w:pPr>
        <w:numPr>
          <w:ilvl w:val="0"/>
          <w:numId w:val="1028"/>
        </w:numPr>
        <w:pStyle w:val="Compact"/>
      </w:pPr>
      <w:r>
        <w:t xml:space="preserve">基于 HB 与位点差计算并上报同步延迟</w:t>
      </w:r>
    </w:p>
    <w:p>
      <w:pPr>
        <w:numPr>
          <w:ilvl w:val="0"/>
          <w:numId w:val="1028"/>
        </w:numPr>
        <w:pStyle w:val="Compact"/>
      </w:pPr>
      <w:r>
        <w:t xml:space="preserve">支持 HA：进程重启或跨节点重建（含冷却期）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29"/>
        </w:numPr>
        <w:pStyle w:val="Compact"/>
      </w:pPr>
      <w:r>
        <w:t xml:space="preserve">输入：Record 流、映射配置、目标数据源</w:t>
      </w:r>
    </w:p>
    <w:p>
      <w:pPr>
        <w:numPr>
          <w:ilvl w:val="0"/>
          <w:numId w:val="1029"/>
        </w:numPr>
        <w:pStyle w:val="Compact"/>
      </w:pPr>
      <w:r>
        <w:t xml:space="preserve">输出：应用结果、Checkpoint 位点、延迟指标</w:t>
      </w:r>
    </w:p>
    <w:p>
      <w:pPr>
        <w:numPr>
          <w:ilvl w:val="0"/>
          <w:numId w:val="1029"/>
        </w:numPr>
        <w:pStyle w:val="Compact"/>
      </w:pPr>
      <w:r>
        <w:t xml:space="preserve">依赖：Store、StreamRuntime、元数据；协作 Supervisor / HA</w:t>
      </w:r>
    </w:p>
    <w:bookmarkEnd w:id="68"/>
    <w:bookmarkStart w:id="69" w:name="fullverification"/>
    <w:p>
      <w:pPr>
        <w:pStyle w:val="Heading4"/>
      </w:pPr>
      <w:r>
        <w:t xml:space="preserve">4.2.5 FullVerification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数据校验组件，对源端与目标端进行全字段、分片并行对比，输出差异报告与订正 SQL。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30"/>
        </w:numPr>
        <w:pStyle w:val="Compact"/>
      </w:pPr>
      <w:r>
        <w:t xml:space="preserve">增量延迟低于阈值后触发，降低假差异</w:t>
      </w:r>
    </w:p>
    <w:p>
      <w:pPr>
        <w:numPr>
          <w:ilvl w:val="0"/>
          <w:numId w:val="1030"/>
        </w:numPr>
        <w:pStyle w:val="Compact"/>
      </w:pPr>
      <w:r>
        <w:t xml:space="preserve">按主键/索引分片并行、流式读取</w:t>
      </w:r>
    </w:p>
    <w:p>
      <w:pPr>
        <w:numPr>
          <w:ilvl w:val="0"/>
          <w:numId w:val="1030"/>
        </w:numPr>
        <w:pStyle w:val="Compact"/>
      </w:pPr>
      <w:r>
        <w:t xml:space="preserve">统一类型格式化后逐行对比</w:t>
      </w:r>
    </w:p>
    <w:p>
      <w:pPr>
        <w:numPr>
          <w:ilvl w:val="0"/>
          <w:numId w:val="1030"/>
        </w:numPr>
        <w:pStyle w:val="Compact"/>
      </w:pPr>
      <w:r>
        <w:t xml:space="preserve">输出差异报告与订正 SQL</w:t>
      </w:r>
    </w:p>
    <w:p>
      <w:pPr>
        <w:numPr>
          <w:ilvl w:val="0"/>
          <w:numId w:val="1030"/>
        </w:numPr>
        <w:pStyle w:val="Compact"/>
      </w:pPr>
      <w:r>
        <w:t xml:space="preserve">支持 Repairing → Verifying 多轮复检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31"/>
        </w:numPr>
        <w:pStyle w:val="Compact"/>
      </w:pPr>
      <w:r>
        <w:t xml:space="preserve">输入：校验表清单、分片大小、延迟阈值</w:t>
      </w:r>
    </w:p>
    <w:p>
      <w:pPr>
        <w:numPr>
          <w:ilvl w:val="0"/>
          <w:numId w:val="1031"/>
        </w:numPr>
        <w:pStyle w:val="Compact"/>
      </w:pPr>
      <w:r>
        <w:t xml:space="preserve">输出：差异报告、订正 SQL、SubTask 状态</w:t>
      </w:r>
    </w:p>
    <w:p>
      <w:pPr>
        <w:numPr>
          <w:ilvl w:val="0"/>
          <w:numId w:val="1031"/>
        </w:numPr>
        <w:pStyle w:val="Compact"/>
      </w:pPr>
      <w:r>
        <w:t xml:space="preserve">依赖：工作流、元数据、数据源注册中心、源/目标库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6" w:name="横切能力"/>
    <w:p>
      <w:pPr>
        <w:pStyle w:val="Heading3"/>
      </w:pPr>
      <w:r>
        <w:t xml:space="preserve">4.3 横切能力</w:t>
      </w:r>
    </w:p>
    <w:bookmarkStart w:id="71" w:name="调度器"/>
    <w:p>
      <w:pPr>
        <w:pStyle w:val="Heading4"/>
      </w:pPr>
      <w:r>
        <w:t xml:space="preserve">4.3.1 调度器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接收编排/工作流下发的作业调度请求，结合资源池状态将作业分配到合适 Worker 节点。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32"/>
        </w:numPr>
        <w:pStyle w:val="Compact"/>
      </w:pPr>
      <w:r>
        <w:t xml:space="preserve">全量/增量多队列与优先级排队</w:t>
      </w:r>
    </w:p>
    <w:p>
      <w:pPr>
        <w:numPr>
          <w:ilvl w:val="0"/>
          <w:numId w:val="1032"/>
        </w:numPr>
        <w:pStyle w:val="Compact"/>
      </w:pPr>
      <w:r>
        <w:t xml:space="preserve">按作业需求匹配 SyncWorker / StreamWorker Slot</w:t>
      </w:r>
    </w:p>
    <w:p>
      <w:pPr>
        <w:numPr>
          <w:ilvl w:val="0"/>
          <w:numId w:val="1032"/>
        </w:numPr>
        <w:pStyle w:val="Compact"/>
      </w:pPr>
      <w:r>
        <w:t xml:space="preserve">亲和调度：Store 近源、IncrSync 近目标</w:t>
      </w:r>
    </w:p>
    <w:p>
      <w:pPr>
        <w:numPr>
          <w:ilvl w:val="0"/>
          <w:numId w:val="1032"/>
        </w:numPr>
        <w:pStyle w:val="Compact"/>
      </w:pPr>
      <w:r>
        <w:t xml:space="preserve">队列深度驱动弹性扩缩容</w:t>
      </w:r>
    </w:p>
    <w:p>
      <w:pPr>
        <w:numPr>
          <w:ilvl w:val="0"/>
          <w:numId w:val="1032"/>
        </w:numPr>
        <w:pStyle w:val="Compact"/>
      </w:pPr>
      <w:r>
        <w:t xml:space="preserve">节点失效时失败重调度；调度器自身主备选主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33"/>
        </w:numPr>
        <w:pStyle w:val="Compact"/>
      </w:pPr>
      <w:r>
        <w:t xml:space="preserve">输入：工作流调度请求、资源池状态</w:t>
      </w:r>
    </w:p>
    <w:p>
      <w:pPr>
        <w:numPr>
          <w:ilvl w:val="0"/>
          <w:numId w:val="1033"/>
        </w:numPr>
        <w:pStyle w:val="Compact"/>
      </w:pPr>
      <w:r>
        <w:t xml:space="preserve">输出：Worker 作业分配、StreamRuntime 作业句柄</w:t>
      </w:r>
    </w:p>
    <w:p>
      <w:pPr>
        <w:numPr>
          <w:ilvl w:val="0"/>
          <w:numId w:val="1033"/>
        </w:numPr>
        <w:pStyle w:val="Compact"/>
      </w:pPr>
      <w:r>
        <w:t xml:space="preserve">依赖：资源池、SyncWorker、StreamRuntime、元数据服务</w:t>
      </w:r>
    </w:p>
    <w:bookmarkEnd w:id="71"/>
    <w:bookmarkStart w:id="72" w:name="资源池"/>
    <w:p>
      <w:pPr>
        <w:pStyle w:val="Heading4"/>
      </w:pPr>
      <w:r>
        <w:t xml:space="preserve">4.3.2 资源池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统一管理 SyncWorker 与 StreamWorker 等计算资源，提供配额、隔离与弹性能力。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34"/>
        </w:numPr>
        <w:pStyle w:val="Compact"/>
      </w:pPr>
      <w:r>
        <w:t xml:space="preserve">Worker 节点上线/下线登记与使用率上报</w:t>
      </w:r>
    </w:p>
    <w:p>
      <w:pPr>
        <w:numPr>
          <w:ilvl w:val="0"/>
          <w:numId w:val="1034"/>
        </w:numPr>
        <w:pStyle w:val="Compact"/>
      </w:pPr>
      <w:r>
        <w:t xml:space="preserve">租户/项目级 CPU、内存、并发作业配额</w:t>
      </w:r>
    </w:p>
    <w:p>
      <w:pPr>
        <w:numPr>
          <w:ilvl w:val="0"/>
          <w:numId w:val="1034"/>
        </w:numPr>
        <w:pStyle w:val="Compact"/>
      </w:pPr>
      <w:r>
        <w:t xml:space="preserve">资源隔离与超卖保护（预留系统缓冲）</w:t>
      </w:r>
    </w:p>
    <w:p>
      <w:pPr>
        <w:numPr>
          <w:ilvl w:val="0"/>
          <w:numId w:val="1034"/>
        </w:numPr>
        <w:pStyle w:val="Compact"/>
      </w:pPr>
      <w:r>
        <w:t xml:space="preserve">对接 Kubernetes 弹性伸缩</w:t>
      </w:r>
    </w:p>
    <w:p>
      <w:pPr>
        <w:numPr>
          <w:ilvl w:val="0"/>
          <w:numId w:val="1034"/>
        </w:numPr>
        <w:pStyle w:val="Compact"/>
      </w:pPr>
      <w:r>
        <w:t xml:space="preserve">节点失联标记不可用并触发作业迁移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35"/>
        </w:numPr>
        <w:pStyle w:val="Compact"/>
      </w:pPr>
      <w:r>
        <w:t xml:space="preserve">输入：节点注册、心跳、配额配置</w:t>
      </w:r>
    </w:p>
    <w:p>
      <w:pPr>
        <w:numPr>
          <w:ilvl w:val="0"/>
          <w:numId w:val="1035"/>
        </w:numPr>
        <w:pStyle w:val="Compact"/>
      </w:pPr>
      <w:r>
        <w:t xml:space="preserve">输出：可用资源快照、分配/释放确认</w:t>
      </w:r>
    </w:p>
    <w:p>
      <w:pPr>
        <w:numPr>
          <w:ilvl w:val="0"/>
          <w:numId w:val="1035"/>
        </w:numPr>
        <w:pStyle w:val="Compact"/>
      </w:pPr>
      <w:r>
        <w:t xml:space="preserve">依赖：元数据服务、监控告警；被调度器消费</w:t>
      </w:r>
    </w:p>
    <w:bookmarkEnd w:id="72"/>
    <w:bookmarkStart w:id="73" w:name="ha-组件"/>
    <w:p>
      <w:pPr>
        <w:pStyle w:val="Heading4"/>
      </w:pPr>
      <w:r>
        <w:t xml:space="preserve">4.3.3 HA 组件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高可用决策与执行模块，在 Store / IncrSync 异常或节点宕机时触发重建、切换与注册更新。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36"/>
        </w:numPr>
        <w:pStyle w:val="Compact"/>
      </w:pPr>
      <w:r>
        <w:t xml:space="preserve">基于心跳超时判定宕机，与 Supervisor 形成「检测 → 决策 → 执行」闭环</w:t>
      </w:r>
    </w:p>
    <w:p>
      <w:pPr>
        <w:numPr>
          <w:ilvl w:val="0"/>
          <w:numId w:val="1036"/>
        </w:numPr>
        <w:pStyle w:val="Compact"/>
      </w:pPr>
      <w:r>
        <w:t xml:space="preserve">Store HA：健康节点重建并按策略回退位点</w:t>
      </w:r>
    </w:p>
    <w:p>
      <w:pPr>
        <w:numPr>
          <w:ilvl w:val="0"/>
          <w:numId w:val="1036"/>
        </w:numPr>
        <w:pStyle w:val="Compact"/>
      </w:pPr>
      <w:r>
        <w:t xml:space="preserve">IncrSync HA：重启或跨机重建，冷却期防抖</w:t>
      </w:r>
    </w:p>
    <w:p>
      <w:pPr>
        <w:numPr>
          <w:ilvl w:val="0"/>
          <w:numId w:val="1036"/>
        </w:numPr>
        <w:pStyle w:val="Compact"/>
      </w:pPr>
      <w:r>
        <w:t xml:space="preserve">维护组件注册表，删除故障实例</w:t>
      </w:r>
    </w:p>
    <w:p>
      <w:pPr>
        <w:numPr>
          <w:ilvl w:val="0"/>
          <w:numId w:val="1036"/>
        </w:numPr>
        <w:pStyle w:val="Compact"/>
      </w:pPr>
      <w:r>
        <w:t xml:space="preserve">可配置 enable 开关与操作间隔，防止抖动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37"/>
        </w:numPr>
        <w:pStyle w:val="Compact"/>
      </w:pPr>
      <w:r>
        <w:t xml:space="preserve">输入：Supervisor 告警、组件注册表、HA 配置</w:t>
      </w:r>
    </w:p>
    <w:p>
      <w:pPr>
        <w:numPr>
          <w:ilvl w:val="0"/>
          <w:numId w:val="1037"/>
        </w:numPr>
        <w:pStyle w:val="Compact"/>
      </w:pPr>
      <w:r>
        <w:t xml:space="preserve">输出：重建指令、注册变更、HA 审计</w:t>
      </w:r>
    </w:p>
    <w:p>
      <w:pPr>
        <w:numPr>
          <w:ilvl w:val="0"/>
          <w:numId w:val="1037"/>
        </w:numPr>
        <w:pStyle w:val="Compact"/>
      </w:pPr>
      <w:r>
        <w:t xml:space="preserve">依赖：元数据、协调服务（etcd/ZK）、调度器</w:t>
      </w:r>
    </w:p>
    <w:bookmarkEnd w:id="73"/>
    <w:bookmarkStart w:id="74" w:name="监控告警"/>
    <w:p>
      <w:pPr>
        <w:pStyle w:val="Heading4"/>
      </w:pPr>
      <w:r>
        <w:t xml:space="preserve">4.3.4 监控告警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采集、存储、可视化全链路指标，并按规则触发告警通知。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38"/>
        </w:numPr>
        <w:pStyle w:val="Compact"/>
      </w:pPr>
      <w:r>
        <w:t xml:space="preserve">采集吞吐、延迟、进度、脏数据、资源与组件健康</w:t>
      </w:r>
    </w:p>
    <w:p>
      <w:pPr>
        <w:numPr>
          <w:ilvl w:val="0"/>
          <w:numId w:val="1038"/>
        </w:numPr>
        <w:pStyle w:val="Compact"/>
      </w:pPr>
      <w:r>
        <w:t xml:space="preserve">写入时序库，控制台/Grafana 可视化</w:t>
      </w:r>
    </w:p>
    <w:p>
      <w:pPr>
        <w:numPr>
          <w:ilvl w:val="0"/>
          <w:numId w:val="1038"/>
        </w:numPr>
        <w:pStyle w:val="Compact"/>
      </w:pPr>
      <w:r>
        <w:t xml:space="preserve">任务失败、延迟过高、脏数据超限、校验差异、组件异常等规则</w:t>
      </w:r>
    </w:p>
    <w:p>
      <w:pPr>
        <w:numPr>
          <w:ilvl w:val="0"/>
          <w:numId w:val="1038"/>
        </w:numPr>
        <w:pStyle w:val="Compact"/>
      </w:pPr>
      <w:r>
        <w:t xml:space="preserve">多渠道通知与告警抑制/静默</w:t>
      </w:r>
    </w:p>
    <w:p>
      <w:pPr>
        <w:numPr>
          <w:ilvl w:val="0"/>
          <w:numId w:val="1038"/>
        </w:numPr>
        <w:pStyle w:val="Compact"/>
      </w:pPr>
      <w:r>
        <w:t xml:space="preserve">时序库不可用时本地缓冲补写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39"/>
        </w:numPr>
        <w:pStyle w:val="Compact"/>
      </w:pPr>
      <w:r>
        <w:t xml:space="preserve">输入：各组件指标推送、心跳事件</w:t>
      </w:r>
    </w:p>
    <w:p>
      <w:pPr>
        <w:numPr>
          <w:ilvl w:val="0"/>
          <w:numId w:val="1039"/>
        </w:numPr>
        <w:pStyle w:val="Compact"/>
      </w:pPr>
      <w:r>
        <w:t xml:space="preserve">输出：告警事件、大盘数据、Webhook 通知</w:t>
      </w:r>
    </w:p>
    <w:p>
      <w:pPr>
        <w:numPr>
          <w:ilvl w:val="0"/>
          <w:numId w:val="1039"/>
        </w:numPr>
        <w:pStyle w:val="Compact"/>
      </w:pPr>
      <w:r>
        <w:t xml:space="preserve">依赖：时序库、AlertManager、控制台；协作编排服务</w:t>
      </w:r>
    </w:p>
    <w:bookmarkEnd w:id="74"/>
    <w:bookmarkStart w:id="75" w:name="supervisor"/>
    <w:p>
      <w:pPr>
        <w:pStyle w:val="Heading4"/>
      </w:pPr>
      <w:r>
        <w:t xml:space="preserve">4.3.5 Supervisor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组件健康监控代理，定时心跳上报，检测 Store / IncrSync 等异常并触发 HA。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40"/>
        </w:numPr>
        <w:pStyle w:val="Compact"/>
      </w:pPr>
      <w:r>
        <w:t xml:space="preserve">每台 Worker 节点部署，汇报节点与组件存活</w:t>
      </w:r>
    </w:p>
    <w:p>
      <w:pPr>
        <w:numPr>
          <w:ilvl w:val="0"/>
          <w:numId w:val="1040"/>
        </w:numPr>
        <w:pStyle w:val="Compact"/>
      </w:pPr>
      <w:r>
        <w:t xml:space="preserve">检测进程/端口健康，超时判定异常</w:t>
      </w:r>
    </w:p>
    <w:p>
      <w:pPr>
        <w:numPr>
          <w:ilvl w:val="0"/>
          <w:numId w:val="1040"/>
        </w:numPr>
        <w:pStyle w:val="Compact"/>
      </w:pPr>
      <w:r>
        <w:t xml:space="preserve">将「检测」与「恢复」分离：发现后通知 HA 组件</w:t>
      </w:r>
    </w:p>
    <w:p>
      <w:pPr>
        <w:numPr>
          <w:ilvl w:val="0"/>
          <w:numId w:val="1040"/>
        </w:numPr>
        <w:pStyle w:val="Compact"/>
      </w:pPr>
      <w:r>
        <w:t xml:space="preserve">采集本地基础指标</w:t>
      </w:r>
    </w:p>
    <w:p>
      <w:pPr>
        <w:numPr>
          <w:ilvl w:val="0"/>
          <w:numId w:val="1040"/>
        </w:numPr>
        <w:pStyle w:val="Compact"/>
      </w:pPr>
      <w:r>
        <w:t xml:space="preserve">可配置心跳间隔与宕机判定阈值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41"/>
        </w:numPr>
        <w:pStyle w:val="Compact"/>
      </w:pPr>
      <w:r>
        <w:t xml:space="preserve">输入：本地组件状态、HA 配置参数</w:t>
      </w:r>
    </w:p>
    <w:p>
      <w:pPr>
        <w:numPr>
          <w:ilvl w:val="0"/>
          <w:numId w:val="1041"/>
        </w:numPr>
        <w:pStyle w:val="Compact"/>
      </w:pPr>
      <w:r>
        <w:t xml:space="preserve">输出：心跳记录、HA 触发事件、监控指标</w:t>
      </w:r>
    </w:p>
    <w:p>
      <w:pPr>
        <w:numPr>
          <w:ilvl w:val="0"/>
          <w:numId w:val="1041"/>
        </w:numPr>
        <w:pStyle w:val="Compact"/>
      </w:pPr>
      <w:r>
        <w:t xml:space="preserve">依赖：元数据、HA 组件、监控告警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1" w:name="运行时与插件"/>
    <w:p>
      <w:pPr>
        <w:pStyle w:val="Heading3"/>
      </w:pPr>
      <w:r>
        <w:t xml:space="preserve">4.4 运行时与插件</w:t>
      </w:r>
    </w:p>
    <w:bookmarkStart w:id="77" w:name="syncworker"/>
    <w:p>
      <w:pPr>
        <w:pStyle w:val="Heading4"/>
      </w:pPr>
      <w:r>
        <w:t xml:space="preserve">4.4.1 SyncWorker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全量迁移 Worker 运行时，在 Worker 进程内执行 FullImport 作业的 Reader-Channel-Writer 管道。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42"/>
        </w:numPr>
        <w:pStyle w:val="Compact"/>
      </w:pPr>
      <w:r>
        <w:t xml:space="preserve">JobContainer 解析作业配置并切分 Task / TaskGroup</w:t>
      </w:r>
    </w:p>
    <w:p>
      <w:pPr>
        <w:numPr>
          <w:ilvl w:val="0"/>
          <w:numId w:val="1042"/>
        </w:numPr>
        <w:pStyle w:val="Compact"/>
      </w:pPr>
      <w:r>
        <w:t xml:space="preserve">MemoryChannel 并发控制与背压</w:t>
      </w:r>
    </w:p>
    <w:p>
      <w:pPr>
        <w:numPr>
          <w:ilvl w:val="0"/>
          <w:numId w:val="1042"/>
        </w:numPr>
        <w:pStyle w:val="Compact"/>
      </w:pPr>
      <w:r>
        <w:t xml:space="preserve">Writer 先于 Reader 启动，避免通道残留</w:t>
      </w:r>
    </w:p>
    <w:p>
      <w:pPr>
        <w:numPr>
          <w:ilvl w:val="0"/>
          <w:numId w:val="1042"/>
        </w:numPr>
        <w:pStyle w:val="Compact"/>
      </w:pPr>
      <w:r>
        <w:t xml:space="preserve">令牌桶限速与 Communication 统计上报</w:t>
      </w:r>
    </w:p>
    <w:p>
      <w:pPr>
        <w:numPr>
          <w:ilvl w:val="0"/>
          <w:numId w:val="1042"/>
        </w:numPr>
        <w:pStyle w:val="Compact"/>
      </w:pPr>
      <w:r>
        <w:t xml:space="preserve">Task Failover 与进程崩溃后由调度器重提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43"/>
        </w:numPr>
        <w:pStyle w:val="Compact"/>
      </w:pPr>
      <w:r>
        <w:t xml:space="preserve">输入：作业配置、插件 JAR、资源配额</w:t>
      </w:r>
    </w:p>
    <w:p>
      <w:pPr>
        <w:numPr>
          <w:ilvl w:val="0"/>
          <w:numId w:val="1043"/>
        </w:numPr>
        <w:pStyle w:val="Compact"/>
      </w:pPr>
      <w:r>
        <w:t xml:space="preserve">输出：运行统计、完成/失败回调、脏数据报告</w:t>
      </w:r>
    </w:p>
    <w:p>
      <w:pPr>
        <w:numPr>
          <w:ilvl w:val="0"/>
          <w:numId w:val="1043"/>
        </w:numPr>
        <w:pStyle w:val="Compact"/>
      </w:pPr>
      <w:r>
        <w:t xml:space="preserve">依赖：调度器、FullImport、Reader/Writer 插件、资源池</w:t>
      </w:r>
    </w:p>
    <w:bookmarkEnd w:id="77"/>
    <w:bookmarkStart w:id="78" w:name="streamruntime"/>
    <w:p>
      <w:pPr>
        <w:pStyle w:val="Heading4"/>
      </w:pPr>
      <w:r>
        <w:t xml:space="preserve">4.4.2 StreamRuntime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增量流式运行时，调度 IncrSync 作业并管理 Checkpoint / Savepoint。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44"/>
        </w:numPr>
        <w:pStyle w:val="Compact"/>
      </w:pPr>
      <w:r>
        <w:t xml:space="preserve">StreamCoordinator 协调作业与 Checkpoint 触发</w:t>
      </w:r>
    </w:p>
    <w:p>
      <w:pPr>
        <w:numPr>
          <w:ilvl w:val="0"/>
          <w:numId w:val="1044"/>
        </w:numPr>
        <w:pStyle w:val="Compact"/>
      </w:pPr>
      <w:r>
        <w:t xml:space="preserve">StreamWorker + Slot 执行 IncrSync Task</w:t>
      </w:r>
    </w:p>
    <w:p>
      <w:pPr>
        <w:numPr>
          <w:ilvl w:val="0"/>
          <w:numId w:val="1044"/>
        </w:numPr>
        <w:pStyle w:val="Compact"/>
      </w:pPr>
      <w:r>
        <w:t xml:space="preserve">周期性分布式快照与手动 Savepoint</w:t>
      </w:r>
    </w:p>
    <w:p>
      <w:pPr>
        <w:numPr>
          <w:ilvl w:val="0"/>
          <w:numId w:val="1044"/>
        </w:numPr>
        <w:pStyle w:val="Compact"/>
      </w:pPr>
      <w:r>
        <w:t xml:space="preserve">并行度与 Slot 匹配，事件单线程处理降低锁竞争</w:t>
      </w:r>
    </w:p>
    <w:p>
      <w:pPr>
        <w:numPr>
          <w:ilvl w:val="0"/>
          <w:numId w:val="1044"/>
        </w:numPr>
        <w:pStyle w:val="Compact"/>
      </w:pPr>
      <w:r>
        <w:t xml:space="preserve">Coordinator 选主 HA；连续 Checkpoint 失败则暂停告警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45"/>
        </w:numPr>
        <w:pStyle w:val="Compact"/>
      </w:pPr>
      <w:r>
        <w:t xml:space="preserve">输入：执行图、并行度、Checkpoint 配置</w:t>
      </w:r>
    </w:p>
    <w:p>
      <w:pPr>
        <w:numPr>
          <w:ilvl w:val="0"/>
          <w:numId w:val="1045"/>
        </w:numPr>
        <w:pStyle w:val="Compact"/>
      </w:pPr>
      <w:r>
        <w:t xml:space="preserve">输出：作业状态、Checkpoint 元数据、指标</w:t>
      </w:r>
    </w:p>
    <w:p>
      <w:pPr>
        <w:numPr>
          <w:ilvl w:val="0"/>
          <w:numId w:val="1045"/>
        </w:numPr>
        <w:pStyle w:val="Compact"/>
      </w:pPr>
      <w:r>
        <w:t xml:space="preserve">依赖：调度器、IncrSync、资源池、元数据服务</w:t>
      </w:r>
    </w:p>
    <w:bookmarkEnd w:id="78"/>
    <w:bookmarkStart w:id="79" w:name="readerwriter-插件"/>
    <w:p>
      <w:pPr>
        <w:pStyle w:val="Heading4"/>
      </w:pPr>
      <w:r>
        <w:t xml:space="preserve">4.4.3 Reader/Writer 插件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为 FullImport 提供异构数据源读取与写入能力的插件体系。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46"/>
        </w:numPr>
        <w:pStyle w:val="Compact"/>
      </w:pPr>
      <w:r>
        <w:t xml:space="preserve">Reader.Job/Task 与 Writer.Job/Task 对称 SPI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plugin.json</w:t>
      </w:r>
      <w:r>
        <w:t xml:space="preserve"> </w:t>
      </w:r>
      <w:r>
        <w:t xml:space="preserve">注册，ClassLoader 隔离加载</w:t>
      </w:r>
    </w:p>
    <w:p>
      <w:pPr>
        <w:numPr>
          <w:ilvl w:val="0"/>
          <w:numId w:val="1046"/>
        </w:numPr>
        <w:pStyle w:val="Compact"/>
      </w:pPr>
      <w:r>
        <w:t xml:space="preserve">严格 1:1 Reader-Writer Task 配对</w:t>
      </w:r>
    </w:p>
    <w:p>
      <w:pPr>
        <w:numPr>
          <w:ilvl w:val="0"/>
          <w:numId w:val="1046"/>
        </w:numPr>
        <w:pStyle w:val="Compact"/>
      </w:pPr>
      <w:r>
        <w:t xml:space="preserve">可选 Transformer：脱敏、过滤、字段转换</w:t>
      </w:r>
    </w:p>
    <w:p>
      <w:pPr>
        <w:numPr>
          <w:ilvl w:val="0"/>
          <w:numId w:val="1046"/>
        </w:numPr>
        <w:pStyle w:val="Compact"/>
      </w:pPr>
      <w:r>
        <w:t xml:space="preserve">启动前插件存在性与兼容性校验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47"/>
        </w:numPr>
        <w:pStyle w:val="Compact"/>
      </w:pPr>
      <w:r>
        <w:t xml:space="preserve">输入：Task 配置、数据源连接</w:t>
      </w:r>
    </w:p>
    <w:p>
      <w:pPr>
        <w:numPr>
          <w:ilvl w:val="0"/>
          <w:numId w:val="1047"/>
        </w:numPr>
        <w:pStyle w:val="Compact"/>
      </w:pPr>
      <w:r>
        <w:t xml:space="preserve">输出：Column 行 Record 流（Reader）或写入确认（Writer）</w:t>
      </w:r>
    </w:p>
    <w:p>
      <w:pPr>
        <w:numPr>
          <w:ilvl w:val="0"/>
          <w:numId w:val="1047"/>
        </w:numPr>
        <w:pStyle w:val="Compact"/>
      </w:pPr>
      <w:r>
        <w:t xml:space="preserve">依赖：FullImport、SyncWorker、数据源注册中心、插件注册中心</w:t>
      </w:r>
    </w:p>
    <w:bookmarkEnd w:id="79"/>
    <w:bookmarkStart w:id="80" w:name="logadapter-插件"/>
    <w:p>
      <w:pPr>
        <w:pStyle w:val="Heading4"/>
      </w:pPr>
      <w:r>
        <w:t xml:space="preserve">4.4.4 LogAdapter 插件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源端变更日志适配器，为 Store 提供各类数据库日志的拉取、分片与位点提交能力。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48"/>
        </w:numPr>
        <w:pStyle w:val="Compact"/>
      </w:pPr>
      <w:r>
        <w:t xml:space="preserve">LogReader 订阅变更并输出统一 Record</w:t>
      </w:r>
    </w:p>
    <w:p>
      <w:pPr>
        <w:numPr>
          <w:ilvl w:val="0"/>
          <w:numId w:val="1048"/>
        </w:numPr>
        <w:pStyle w:val="Compact"/>
      </w:pPr>
      <w:r>
        <w:t xml:space="preserve">SplitEnumerator 管理库表/分区等日志分片</w:t>
      </w:r>
    </w:p>
    <w:p>
      <w:pPr>
        <w:numPr>
          <w:ilvl w:val="0"/>
          <w:numId w:val="1048"/>
        </w:numPr>
        <w:pStyle w:val="Compact"/>
      </w:pPr>
      <w:r>
        <w:t xml:space="preserve">OffsetCommitter 与 StreamRuntime Checkpoint 对齐</w:t>
      </w:r>
    </w:p>
    <w:p>
      <w:pPr>
        <w:numPr>
          <w:ilvl w:val="0"/>
          <w:numId w:val="1048"/>
        </w:numPr>
        <w:pStyle w:val="Compact"/>
      </w:pPr>
      <w:r>
        <w:t xml:space="preserve">处理源端 DDL 事件与事务边界</w:t>
      </w:r>
    </w:p>
    <w:p>
      <w:pPr>
        <w:numPr>
          <w:ilvl w:val="0"/>
          <w:numId w:val="1048"/>
        </w:numPr>
        <w:pStyle w:val="Compact"/>
      </w:pPr>
      <w:r>
        <w:t xml:space="preserve">SPI 注册与启动前版本兼容校验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49"/>
        </w:numPr>
        <w:pStyle w:val="Compact"/>
      </w:pPr>
      <w:r>
        <w:t xml:space="preserve">输入：适配器配置、起始位点、表过滤规则</w:t>
      </w:r>
    </w:p>
    <w:p>
      <w:pPr>
        <w:numPr>
          <w:ilvl w:val="0"/>
          <w:numId w:val="1049"/>
        </w:numPr>
        <w:pStyle w:val="Compact"/>
      </w:pPr>
      <w:r>
        <w:t xml:space="preserve">输出：DML/DDL/HB Record 流、Enumerator Checkpoint</w:t>
      </w:r>
    </w:p>
    <w:p>
      <w:pPr>
        <w:numPr>
          <w:ilvl w:val="0"/>
          <w:numId w:val="1049"/>
        </w:numPr>
        <w:pStyle w:val="Compact"/>
      </w:pPr>
      <w:r>
        <w:t xml:space="preserve">依赖：Store、IncrSync、数据源注册中心、元数据（Schema）</w:t>
      </w:r>
    </w:p>
    <w:p>
      <w:r>
        <w:pict>
          <v:rect style="width:0;height:1.5pt" o:hralign="center" o:hrstd="t" o:hr="t"/>
        </w:pict>
      </w:r>
    </w:p>
    <w:bookmarkEnd w:id="80"/>
    <w:bookmarkEnd w:id="81"/>
    <w:bookmarkEnd w:id="82"/>
    <w:bookmarkStart w:id="106" w:name="流程设计"/>
    <w:p>
      <w:pPr>
        <w:pStyle w:val="Heading2"/>
      </w:pPr>
      <w:r>
        <w:t xml:space="preserve">5. 流程设计</w:t>
      </w:r>
    </w:p>
    <w:bookmarkStart w:id="86" w:name="迁移业务流程概述"/>
    <w:p>
      <w:pPr>
        <w:pStyle w:val="Heading3"/>
      </w:pPr>
      <w:r>
        <w:t xml:space="preserve">5.1 迁移业务流程概述</w:t>
      </w:r>
    </w:p>
    <w:p>
      <w:pPr>
        <w:pStyle w:val="CaptionedFigure"/>
      </w:pPr>
      <w:r>
        <w:drawing>
          <wp:inline>
            <wp:extent cx="5334000" cy="12375767"/>
            <wp:effectExtent b="0" l="0" r="0" t="0"/>
            <wp:docPr descr="图5-1 标准迁移流程图" title="" id="84" name="Picture"/>
            <a:graphic>
              <a:graphicData uri="http://schemas.openxmlformats.org/drawingml/2006/picture">
                <pic:pic>
                  <pic:nvPicPr>
                    <pic:cNvPr descr="images/fig5-1-migration-flow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7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图5-1 标准迁移流程图</w:t>
      </w:r>
    </w:p>
    <w:p>
      <w:pPr>
        <w:pStyle w:val="BodyText"/>
      </w:pPr>
      <w:r>
        <w:rPr>
          <w:bCs/>
          <w:b/>
        </w:rPr>
        <w:t xml:space="preserve">图 5-1 标准迁移流程图</w:t>
      </w:r>
    </w:p>
    <w:p>
      <w:pPr>
        <w:pStyle w:val="BodyText"/>
      </w:pPr>
      <w:r>
        <w:t xml:space="preserve">流程按</w:t>
      </w:r>
      <w:r>
        <w:t xml:space="preserve"> </w:t>
      </w:r>
      <w:r>
        <w:rPr>
          <w:bCs/>
          <w:b/>
        </w:rPr>
        <w:t xml:space="preserve">准备 → 执行 → 收尾</w:t>
      </w:r>
      <w:r>
        <w:t xml:space="preserve"> </w:t>
      </w:r>
      <w:r>
        <w:t xml:space="preserve">三段推进，各阶段说明如下：</w:t>
      </w:r>
    </w:p>
    <w:p>
      <w:pPr>
        <w:pStyle w:val="BodyText"/>
      </w:pPr>
      <w:r>
        <w:rPr>
          <w:bCs/>
          <w:b/>
        </w:rPr>
        <w:t xml:space="preserve">准备阶段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创建任务</w:t>
      </w:r>
      <w:r>
        <w:t xml:space="preserve">：注册源/目标数据源，选择迁移对象与策略，生成 MigrationTask。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预检查</w:t>
      </w:r>
      <w:r>
        <w:t xml:space="preserve">：验证网络连通、账号权限、版本兼容与对象可迁移性；失败则终止或返回修改。</w:t>
      </w:r>
    </w:p>
    <w:p>
      <w:pPr>
        <w:pStyle w:val="FirstParagraph"/>
      </w:pPr>
      <w:r>
        <w:rPr>
          <w:bCs/>
          <w:b/>
        </w:rPr>
        <w:t xml:space="preserve">执行阶段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结构迁移（DBCat）</w:t>
      </w:r>
      <w:r>
        <w:t xml:space="preserve">：完成 Schema 转换并在目标端落地对象，写入映射版本。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全量迁移（FullImport）</w:t>
      </w:r>
      <w:r>
        <w:t xml:space="preserve">：搬运存量数据，启动时记录增量起始位点。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增量同步（Store + IncrSync）</w:t>
      </w:r>
      <w:r>
        <w:t xml:space="preserve">：自位点拉取变更并持续追平目标端。</w:t>
      </w:r>
    </w:p>
    <w:p>
      <w:pPr>
        <w:pStyle w:val="FirstParagraph"/>
      </w:pPr>
      <w:r>
        <w:rPr>
          <w:bCs/>
          <w:b/>
        </w:rPr>
        <w:t xml:space="preserve">收尾阶段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数据校验（FullVerification）</w:t>
      </w:r>
      <w:r>
        <w:t xml:space="preserve">：延迟达标后对比源/目标；有差异则订正后复检。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业务切换</w:t>
      </w:r>
      <w:r>
        <w:t xml:space="preserve">：校验通过后切换连接，压缩停机窗口。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完成</w:t>
      </w:r>
      <w:r>
        <w:t xml:space="preserve">：任务归档。</w:t>
      </w:r>
    </w:p>
    <w:bookmarkEnd w:id="86"/>
    <w:bookmarkStart w:id="87" w:name="流程设计说明"/>
    <w:p>
      <w:pPr>
        <w:pStyle w:val="Heading3"/>
      </w:pPr>
      <w:r>
        <w:t xml:space="preserve">5.2 流程设计说明</w:t>
      </w:r>
    </w:p>
    <w:p>
      <w:pPr>
        <w:pStyle w:val="FirstParagraph"/>
      </w:pPr>
      <w:r>
        <w:t xml:space="preserve">迁移阶段顺序由数据依赖、一致性约束与停机最小化共同决定，不可随意调换。</w:t>
      </w:r>
    </w:p>
    <w:p>
      <w:pPr>
        <w:pStyle w:val="BodyText"/>
      </w:pPr>
      <w:r>
        <w:rPr>
          <w:bCs/>
          <w:b/>
        </w:rPr>
        <w:t xml:space="preserve">结构迁移必须先行。</w:t>
      </w:r>
      <w:r>
        <w:t xml:space="preserve"> </w:t>
      </w:r>
      <w:r>
        <w:t xml:space="preserve">目标端需要先具备与源端语义对齐的表、索引与约束，全量 Writer 与增量应用才有承载对象。若跳过结构直接写数，将出现建表失败、类型不兼容或约束冲突。结构阶段还将映射结果版本化写入元数据，供后续阶段按统一对象名与类型语义执行。</w:t>
      </w:r>
    </w:p>
    <w:p>
      <w:pPr>
        <w:pStyle w:val="BodyText"/>
      </w:pPr>
      <w:r>
        <w:rPr>
          <w:bCs/>
          <w:b/>
        </w:rPr>
        <w:t xml:space="preserve">全量迁移建立存量基线。</w:t>
      </w:r>
      <w:r>
        <w:t xml:space="preserve"> </w:t>
      </w:r>
      <w:r>
        <w:t xml:space="preserve">在增量启动前，必须将历史数据搬至目标端。若仅做增量不同步全量，目标端缺少基线，无法还原完整数据集。全量启动瞬间记录源端日志位点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，为后续增量覆盖「全量期间并发写入」提供锚点。</w:t>
      </w:r>
    </w:p>
    <w:p>
      <w:pPr>
        <w:pStyle w:val="BodyText"/>
      </w:pPr>
      <w:r>
        <w:rPr>
          <w:bCs/>
          <w:b/>
        </w:rPr>
        <w:t xml:space="preserve">增量同步补齐运行期变更。</w:t>
      </w:r>
      <w:r>
        <w:t xml:space="preserve"> </w:t>
      </w:r>
      <w:r>
        <w:t xml:space="preserve">全量执行期间源端业务持续写入，全量结束至切换前的变更必须由增量链路追平。Store 从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 </w:t>
      </w:r>
      <w:r>
        <w:t xml:space="preserve">拉取，IncrSync 幂等应用至目标端；Checkpoint 保障故障后可续传。增量将停机需求从「全量窗口」推迟到「切换瞬间」。</w:t>
      </w:r>
    </w:p>
    <w:p>
      <w:pPr>
        <w:pStyle w:val="BodyText"/>
      </w:pPr>
      <w:r>
        <w:rPr>
          <w:bCs/>
          <w:b/>
        </w:rPr>
        <w:t xml:space="preserve">数据校验独立验真。</w:t>
      </w:r>
      <w:r>
        <w:t xml:space="preserve"> </w:t>
      </w:r>
      <w:r>
        <w:t xml:space="preserve">结构、全量、增量完成后，需在切换前用 FullVerification 验证一致性。校验启动前要求增量延迟低于阈值，避免追平过程中的假差异。发现差异进入订正与复检回路，未通过则阻塞切换。</w:t>
      </w:r>
    </w:p>
    <w:p>
      <w:pPr>
        <w:pStyle w:val="BodyText"/>
      </w:pPr>
      <w:r>
        <w:rPr>
          <w:bCs/>
          <w:b/>
        </w:rPr>
        <w:t xml:space="preserve">业务切换是最后一步。</w:t>
      </w:r>
      <w:r>
        <w:t xml:space="preserve"> </w:t>
      </w:r>
      <w:r>
        <w:t xml:space="preserve">仅当校验通过（差异为 0 或已订正复检通过）才执行 DNS/连接串切换并停止源端写入。提前切换会导致双写与一致性风险；延后切换则拉长并行运行成本。切换将停机窗口压缩到可预期的短暂操作。</w:t>
      </w:r>
    </w:p>
    <w:p>
      <w:pPr>
        <w:pStyle w:val="BodyText"/>
      </w:pPr>
      <w:r>
        <w:t xml:space="preserve">概括而言：</w:t>
      </w:r>
      <w:r>
        <w:rPr>
          <w:bCs/>
          <w:b/>
        </w:rPr>
        <w:t xml:space="preserve">先有可写容器（结构），再有存量基线（全量），再补运行期变更（增量），再独立验真（校验），最后切流量（切换）。</w:t>
      </w:r>
    </w:p>
    <w:bookmarkEnd w:id="87"/>
    <w:bookmarkStart w:id="91" w:name="任务状态机"/>
    <w:p>
      <w:pPr>
        <w:pStyle w:val="Heading3"/>
      </w:pPr>
      <w:r>
        <w:t xml:space="preserve">5.3 任务状态机</w:t>
      </w:r>
    </w:p>
    <w:p>
      <w:pPr>
        <w:pStyle w:val="CaptionedFigure"/>
      </w:pPr>
      <w:r>
        <w:drawing>
          <wp:inline>
            <wp:extent cx="4343400" cy="11023600"/>
            <wp:effectExtent b="0" l="0" r="0" t="0"/>
            <wp:docPr descr="图5-2 迁移任务状态机" title="" id="89" name="Picture"/>
            <a:graphic>
              <a:graphicData uri="http://schemas.openxmlformats.org/drawingml/2006/picture">
                <pic:pic>
                  <pic:nvPicPr>
                    <pic:cNvPr descr="images/fig5-2-state-machine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1102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图5-2 迁移任务状态机</w:t>
      </w:r>
    </w:p>
    <w:p>
      <w:pPr>
        <w:pStyle w:val="BodyText"/>
      </w:pPr>
      <w:r>
        <w:rPr>
          <w:bCs/>
          <w:b/>
        </w:rPr>
        <w:t xml:space="preserve">图 5-2 迁移任务状态机</w:t>
      </w:r>
    </w:p>
    <w:p>
      <w:pPr>
        <w:pStyle w:val="BodyText"/>
      </w:pPr>
      <w:r>
        <w:t xml:space="preserve">任务层次模型：</w:t>
      </w:r>
    </w:p>
    <w:p>
      <w:pPr>
        <w:pStyle w:val="SourceCode"/>
      </w:pPr>
      <w:r>
        <w:rPr>
          <w:rStyle w:val="VerbatimChar"/>
        </w:rPr>
        <w:t xml:space="preserve">MigrationProject（迁移项目）</w:t>
      </w:r>
      <w:r>
        <w:br/>
      </w:r>
      <w:r>
        <w:rPr>
          <w:rStyle w:val="VerbatimChar"/>
        </w:rPr>
        <w:t xml:space="preserve">  └── MigrationTask（迁移任务，一对源→目标）</w:t>
      </w:r>
      <w:r>
        <w:br/>
      </w:r>
      <w:r>
        <w:rPr>
          <w:rStyle w:val="VerbatimChar"/>
        </w:rPr>
        <w:t xml:space="preserve">        ├── SubTask: SchemaMigration（结构迁移）</w:t>
      </w:r>
      <w:r>
        <w:br/>
      </w:r>
      <w:r>
        <w:rPr>
          <w:rStyle w:val="VerbatimChar"/>
        </w:rPr>
        <w:t xml:space="preserve">        ├── SubTask: FullMigration（全量迁移，可按表并行）</w:t>
      </w:r>
      <w:r>
        <w:br/>
      </w:r>
      <w:r>
        <w:rPr>
          <w:rStyle w:val="VerbatimChar"/>
        </w:rPr>
        <w:t xml:space="preserve">        ├── SubTask: IncrementalSync（增量同步，单链路）</w:t>
      </w:r>
      <w:r>
        <w:br/>
      </w:r>
      <w:r>
        <w:rPr>
          <w:rStyle w:val="VerbatimChar"/>
        </w:rPr>
        <w:t xml:space="preserve">        ├── SubTask: Verification（数据校验，可按表并行）</w:t>
      </w:r>
      <w:r>
        <w:br/>
      </w:r>
      <w:r>
        <w:rPr>
          <w:rStyle w:val="VerbatimChar"/>
        </w:rPr>
        <w:t xml:space="preserve">        └── SubTask: Switchover（业务切换）</w:t>
      </w:r>
    </w:p>
    <w:p>
      <w:pPr>
        <w:pStyle w:val="FirstParagraph"/>
      </w:pPr>
      <w:r>
        <w:rPr>
          <w:bCs/>
          <w:b/>
        </w:rPr>
        <w:t xml:space="preserve">主路径</w:t>
      </w:r>
      <w:r>
        <w:t xml:space="preserve">：</w:t>
      </w:r>
      <w:r>
        <w:rPr>
          <w:rStyle w:val="VerbatimChar"/>
        </w:rPr>
        <w:t xml:space="preserve">已创建 → 结构中 → 全量中 → 增量中 → 校验中 → 切换中 → 已完成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异常路径</w:t>
      </w:r>
      <w:r>
        <w:t xml:space="preserve">：结构/全量/增量阶段不可恢复失败进入</w:t>
      </w:r>
      <w:r>
        <w:t xml:space="preserve"> </w:t>
      </w:r>
      <w:r>
        <w:rPr>
          <w:rStyle w:val="VerbatimChar"/>
        </w:rPr>
        <w:t xml:space="preserve">失败</w:t>
      </w:r>
      <w:r>
        <w:t xml:space="preserve">；支持按子任务重试或人工介入后恢复。编排层以元数据库状态为准。</w:t>
      </w:r>
    </w:p>
    <w:p>
      <w:pPr>
        <w:pStyle w:val="BodyText"/>
      </w:pPr>
      <w:r>
        <w:rPr>
          <w:bCs/>
          <w:b/>
        </w:rPr>
        <w:t xml:space="preserve">复检路径</w:t>
      </w:r>
      <w:r>
        <w:t xml:space="preserve">：校验发现差异进入</w:t>
      </w:r>
      <w:r>
        <w:t xml:space="preserve"> </w:t>
      </w:r>
      <w:r>
        <w:rPr>
          <w:rStyle w:val="VerbatimChar"/>
        </w:rPr>
        <w:t xml:space="preserve">订正中</w:t>
      </w:r>
      <w:r>
        <w:t xml:space="preserve">，完成后回到</w:t>
      </w:r>
      <w:r>
        <w:t xml:space="preserve"> </w:t>
      </w:r>
      <w:r>
        <w:rPr>
          <w:rStyle w:val="VerbatimChar"/>
        </w:rPr>
        <w:t xml:space="preserve">校验中</w:t>
      </w:r>
      <w:r>
        <w:t xml:space="preserve">；多轮复检通过后方可切换。</w:t>
      </w:r>
    </w:p>
    <w:bookmarkEnd w:id="91"/>
    <w:bookmarkStart w:id="92" w:name="阶段衔接设计"/>
    <w:p>
      <w:pPr>
        <w:pStyle w:val="Heading3"/>
      </w:pPr>
      <w:r>
        <w:t xml:space="preserve">5.4 阶段衔接设计</w:t>
      </w:r>
    </w:p>
    <w:p>
      <w:pPr>
        <w:pStyle w:val="FirstParagraph"/>
      </w:pPr>
      <w:r>
        <w:t xml:space="preserve">阶段之间通过明确的门控条件与共享元数据衔接，避免「状态已前进、数据未就绪」。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衔接要点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责任模块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预检查 → 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权限、网络、版本检查全部通过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任务编排服务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 → 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结构完成并锁定映射；写入</w:t>
            </w:r>
            <w:r>
              <w:t xml:space="preserve"> </w:t>
            </w:r>
            <w:r>
              <w:rPr>
                <w:bCs/>
                <w:b/>
              </w:rPr>
              <w:t xml:space="preserve">mapping version</w:t>
            </w:r>
            <w:r>
              <w:t xml:space="preserve">；全量按映射后对象读写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DBCat → FullImport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 →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</w:t>
            </w:r>
            <w:r>
              <w:rPr>
                <w:bCs/>
                <w:b/>
              </w:rPr>
              <w:t xml:space="preserve">开始时</w:t>
            </w:r>
            <w:r>
              <w:t xml:space="preserve">记录</w:t>
            </w:r>
            <w:r>
              <w:t xml:space="preserve"> </w:t>
            </w:r>
            <w:r>
              <w:rPr>
                <w:bCs/>
                <w:b/>
              </w:rPr>
              <w:t xml:space="preserve">startPosition</w:t>
            </w:r>
            <w:r>
              <w:t xml:space="preserve">；结束后 Store 从该位点拉取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FullImport → Store → IncrSync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 →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增量延迟低于配置的</w:t>
            </w:r>
            <w:r>
              <w:t xml:space="preserve"> </w:t>
            </w:r>
            <w:r>
              <w:rPr>
                <w:bCs/>
                <w:b/>
              </w:rPr>
              <w:t xml:space="preserve">delay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IncrSync → FullVerification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校验 → 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差异为 0 或订正复检通过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FullVerification → 编排服务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切换 →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停止源端写入（可选）；任务归档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任务编排服务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startPosition</w:t>
      </w:r>
      <w:r>
        <w:t xml:space="preserve">：全量启动瞬间采集的源端日志位点。全量期间源端变更由日志保留；全量结束后 Store 自该位点消费，覆盖并发写入，避免空洞。</w:t>
      </w:r>
    </w:p>
    <w:p>
      <w:pPr>
        <w:pStyle w:val="BodyText"/>
      </w:pPr>
      <w:r>
        <w:rPr>
          <w:bCs/>
          <w:b/>
        </w:rPr>
        <w:t xml:space="preserve">mapping version</w:t>
      </w:r>
      <w:r>
        <w:t xml:space="preserve">：结构迁移完成后递增的映射版本号。全量、增量、校验均绑定同一版本，防止结构变更后读写语义漂移；若需调整映射，应生成新版本并评估是否重跑受影响阶段。</w:t>
      </w:r>
    </w:p>
    <w:p>
      <w:pPr>
        <w:pStyle w:val="BodyText"/>
      </w:pPr>
      <w:r>
        <w:rPr>
          <w:bCs/>
          <w:b/>
        </w:rPr>
        <w:t xml:space="preserve">delay threshold</w:t>
      </w:r>
      <w:r>
        <w:t xml:space="preserve">：允许进入校验的最大增量延迟。阈值过低会频繁阻塞校验，过高则增加假差异；建议按业务 RPO 与表规模调参，并在大表场景适当放宽后配合复检。</w:t>
      </w:r>
    </w:p>
    <w:bookmarkEnd w:id="92"/>
    <w:bookmarkStart w:id="93" w:name="并行与串行策略"/>
    <w:p>
      <w:pPr>
        <w:pStyle w:val="Heading3"/>
      </w:pPr>
      <w:r>
        <w:t xml:space="preserve">5.5 并行与串行策略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串行（对象依赖拓扑序）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外键、索引等依赖要求 DDL 按序执行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表级并行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表间无强一致依赖，可水平扩展吞吐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保持全局位点顺序语义；分片在运行时内部管理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表级并行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各表独立对比，可水平扩展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业务切换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串行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全局原子操作，避免部分应用已切、部分仍写源端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结构迁移（串行）→ 全量迁移（表级并行）→ 增量同步（单链路）→ 数据校验（表级并行）→ 业务切换（串行）</w:t>
      </w:r>
    </w:p>
    <w:p>
      <w:pPr>
        <w:pStyle w:val="FirstParagraph"/>
      </w:pPr>
      <w:r>
        <w:t xml:space="preserve">工作流按策略拆分 SubTask：全量/校验为每表生成可并行子任务；增量仅创建一个 IncrSync 子任务。</w:t>
      </w:r>
    </w:p>
    <w:bookmarkEnd w:id="93"/>
    <w:bookmarkStart w:id="101" w:name="核心数据流"/>
    <w:p>
      <w:pPr>
        <w:pStyle w:val="Heading3"/>
      </w:pPr>
      <w:r>
        <w:t xml:space="preserve">5.6 核心数据流</w:t>
      </w:r>
    </w:p>
    <w:p>
      <w:pPr>
        <w:pStyle w:val="CaptionedFigure"/>
      </w:pPr>
      <w:r>
        <w:drawing>
          <wp:inline>
            <wp:extent cx="5334000" cy="2038790"/>
            <wp:effectExtent b="0" l="0" r="0" t="0"/>
            <wp:docPr descr="图5-3 核心数据流图" title="" id="95" name="Picture"/>
            <a:graphic>
              <a:graphicData uri="http://schemas.openxmlformats.org/drawingml/2006/picture">
                <pic:pic>
                  <pic:nvPicPr>
                    <pic:cNvPr descr="images/fig5-3-data-flow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图5-3 核心数据流图</w:t>
      </w:r>
    </w:p>
    <w:p>
      <w:pPr>
        <w:pStyle w:val="BodyText"/>
      </w:pPr>
      <w:r>
        <w:rPr>
          <w:bCs/>
          <w:b/>
        </w:rPr>
        <w:t xml:space="preserve">图 5-3 核心数据流图</w:t>
      </w:r>
    </w:p>
    <w:p>
      <w:pPr>
        <w:pStyle w:val="BodyText"/>
      </w:pPr>
      <w:r>
        <w:t xml:space="preserve">图中分三条路径，便于对照阅读：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源库 → Reader → Channel → Writer → 目标库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SyncWorker 内 1:1 管道搬运存量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源库变更日志 → Store → Record 队列 → IncrSync → 目标库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自全量位点持续追平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源库 + 目标库 → FullVerification → 差异报告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延迟达标后独立验真</w:t>
            </w:r>
          </w:p>
        </w:tc>
      </w:tr>
    </w:tbl>
    <w:bookmarkStart w:id="97" w:name="结构迁移数据流"/>
    <w:p>
      <w:pPr>
        <w:pStyle w:val="Heading4"/>
      </w:pPr>
      <w:r>
        <w:t xml:space="preserve">5.6.1 结构迁移数据流</w:t>
      </w:r>
    </w:p>
    <w:p>
      <w:pPr>
        <w:pStyle w:val="FirstParagraph"/>
      </w:pPr>
      <w:r>
        <w:t xml:space="preserve">源端 Schema 采集 → 方言语法解析 → TypeMapper 类型映射 → 目标端 DDL 按拓扑序执行 → 映射元数据与 mapping version 写入元数据服务。</w:t>
      </w:r>
    </w:p>
    <w:bookmarkEnd w:id="97"/>
    <w:bookmarkStart w:id="98" w:name="全量迁移数据流"/>
    <w:p>
      <w:pPr>
        <w:pStyle w:val="Heading4"/>
      </w:pPr>
      <w:r>
        <w:t xml:space="preserve">5.6.2 全量迁移数据流</w:t>
      </w:r>
    </w:p>
    <w:p>
      <w:pPr>
        <w:pStyle w:val="FirstParagraph"/>
      </w:pPr>
      <w:r>
        <w:t xml:space="preserve">编排层生成作业规格 → SyncWorker 切分 Task → Reader 读源端 → Channel 传输（背压/限速）→ Writer 写目标端；启动时落盘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。</w:t>
      </w:r>
    </w:p>
    <w:bookmarkEnd w:id="98"/>
    <w:bookmarkStart w:id="99" w:name="增量同步数据流"/>
    <w:p>
      <w:pPr>
        <w:pStyle w:val="Heading4"/>
      </w:pPr>
      <w:r>
        <w:t xml:space="preserve">5.6.3 增量同步数据流</w:t>
      </w:r>
    </w:p>
    <w:p>
      <w:pPr>
        <w:pStyle w:val="FirstParagraph"/>
      </w:pPr>
      <w:r>
        <w:t xml:space="preserve">变更日志经 LogAdapter 由 Store 拉取解析为 DML/DDL/HB → 进入 Record 队列 → IncrSync 应用至目标库；StreamRuntime Checkpoint 持久化消费位点。</w:t>
      </w:r>
    </w:p>
    <w:bookmarkEnd w:id="99"/>
    <w:bookmarkStart w:id="100" w:name="数据校验数据流"/>
    <w:p>
      <w:pPr>
        <w:pStyle w:val="Heading4"/>
      </w:pPr>
      <w:r>
        <w:t xml:space="preserve">5.6.4 数据校验数据流</w:t>
      </w:r>
    </w:p>
    <w:p>
      <w:pPr>
        <w:pStyle w:val="FirstParagraph"/>
      </w:pPr>
      <w:r>
        <w:t xml:space="preserve">按主键/索引切片 → 源/目标流式读取 → 类型格式化对比 → 输出差异报告与订正 SQL → 可选进入订正复检循环。</w:t>
      </w:r>
    </w:p>
    <w:bookmarkEnd w:id="100"/>
    <w:bookmarkEnd w:id="101"/>
    <w:bookmarkStart w:id="105" w:name="端到端时序"/>
    <w:p>
      <w:pPr>
        <w:pStyle w:val="Heading3"/>
      </w:pPr>
      <w:r>
        <w:t xml:space="preserve">5.7 端到端时序</w:t>
      </w:r>
    </w:p>
    <w:p>
      <w:pPr>
        <w:pStyle w:val="CaptionedFigure"/>
      </w:pPr>
      <w:r>
        <w:drawing>
          <wp:inline>
            <wp:extent cx="5334000" cy="3530417"/>
            <wp:effectExtent b="0" l="0" r="0" t="0"/>
            <wp:docPr descr="图5-4 端到端迁移时序图" title="" id="103" name="Picture"/>
            <a:graphic>
              <a:graphicData uri="http://schemas.openxmlformats.org/drawingml/2006/picture">
                <pic:pic>
                  <pic:nvPicPr>
                    <pic:cNvPr descr="images/fig5-4-sequence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0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图5-4 端到端迁移时序图</w:t>
      </w:r>
    </w:p>
    <w:p>
      <w:pPr>
        <w:pStyle w:val="BodyText"/>
      </w:pPr>
      <w:r>
        <w:rPr>
          <w:bCs/>
          <w:b/>
        </w:rPr>
        <w:t xml:space="preserve">图 5-4 端到端迁移时序图</w:t>
      </w:r>
    </w:p>
    <w:p>
      <w:pPr>
        <w:pStyle w:val="BodyText"/>
      </w:pPr>
      <w:r>
        <w:t xml:space="preserve">时序按准备 / 执行 / 收尾三段组织，参与者精简为：用户、编排服务、结构迁移、全量迁移、增量链路、数据校验。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准备</w:t>
      </w:r>
      <w:r>
        <w:t xml:space="preserve">：用户创建并启动任务；编排完成预检查。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执行</w:t>
      </w:r>
      <w:r>
        <w:t xml:space="preserve">：编排依次调度结构迁移 → 全量迁移（记录位点）→ 增量链路（Store + IncrSync）；增量延迟达标后进入收尾。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收尾</w:t>
      </w:r>
      <w:r>
        <w:t xml:space="preserve">：启动校验；通过后通知用户可执行业务切换。</w:t>
      </w:r>
    </w:p>
    <w:p>
      <w:pPr>
        <w:pStyle w:val="FirstParagraph"/>
      </w:pPr>
      <w:r>
        <w:t xml:space="preserve">异常时失败回调编排进入失败或订正复检；HA 场景下 Supervisor 检测增量链路异常并由 HA 重建，位点可恢复时无需重跑全量。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2" w:name="数据与接口设计"/>
    <w:p>
      <w:pPr>
        <w:pStyle w:val="Heading2"/>
      </w:pPr>
      <w:r>
        <w:t xml:space="preserve">6. 数据与接口设计</w:t>
      </w:r>
    </w:p>
    <w:bookmarkStart w:id="107" w:name="核心数据模型"/>
    <w:p>
      <w:pPr>
        <w:pStyle w:val="Heading3"/>
      </w:pPr>
      <w:r>
        <w:t xml:space="preserve">6.1 核心数据模型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360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name, tenant_id, 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迁移项目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project_id, source_ds_id, target_ds_id,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一对源→目标任务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task_id, type, status,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子任务（Schema/Full/Incr/Verify/Switch）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type, connection, encrypted_credential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task_id, source_object, target_object, ddl, mapping_version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结构映射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task_id, component, position_json, 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位点（含 startPosition、Store、Checkpoint）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task_id, component_type, host, port,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组件注册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Record（全量）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行模型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Record（增量）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type(DML/DDL/HB), payload,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统一增量事件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Position（运行时）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journal/offset 或等价日志坐标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源端日志位点抽象</w:t>
            </w:r>
          </w:p>
        </w:tc>
      </w:tr>
    </w:tbl>
    <w:bookmarkEnd w:id="107"/>
    <w:bookmarkStart w:id="108" w:name="插件能力矩阵"/>
    <w:p>
      <w:pPr>
        <w:pStyle w:val="Heading3"/>
      </w:pPr>
      <w:r>
        <w:t xml:space="preserve">6.2 插件能力矩阵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TypeMapper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MongoDB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HDFS/Hive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✅ 已支持 / 🔲 规划中 / — 不适用</w:t>
      </w:r>
    </w:p>
    <w:bookmarkEnd w:id="108"/>
    <w:bookmarkStart w:id="109" w:name="插件注册机制"/>
    <w:p>
      <w:pPr>
        <w:pStyle w:val="Heading3"/>
      </w:pPr>
      <w:r>
        <w:t xml:space="preserve">6.3 插件注册机制</w:t>
      </w:r>
    </w:p>
    <w:p>
      <w:pPr>
        <w:pStyle w:val="SourceCode"/>
      </w:pPr>
      <w:r>
        <w:rPr>
          <w:rStyle w:val="VerbatimChar"/>
        </w:rPr>
        <w:t xml:space="preserve">plugin/reader/mysqlreader/</w:t>
      </w:r>
      <w:r>
        <w:br/>
      </w:r>
      <w:r>
        <w:rPr>
          <w:rStyle w:val="VerbatimChar"/>
        </w:rPr>
        <w:t xml:space="preserve">  ├── plugin.json</w:t>
      </w:r>
      <w:r>
        <w:br/>
      </w:r>
      <w:r>
        <w:rPr>
          <w:rStyle w:val="VerbatimChar"/>
        </w:rPr>
        <w:t xml:space="preserve">  ├── plugin_job_template.json</w:t>
      </w:r>
      <w:r>
        <w:br/>
      </w:r>
      <w:r>
        <w:rPr>
          <w:rStyle w:val="VerbatimChar"/>
        </w:rPr>
        <w:t xml:space="preserve">  └── mysqlreader-0.0.1-SNAPSHOT.jar</w:t>
      </w:r>
    </w:p>
    <w:p>
      <w:pPr>
        <w:pStyle w:val="FirstParagraph"/>
      </w:pPr>
      <w:r>
        <w:t xml:space="preserve">流程：插件包提交 → 注册中心登记 → 兼容性校验 → 写入插件目录 → 运行时 ClassLoader 隔离加载 → 执行引擎按名称引用。LogAdapter 另通过 SPI 描述文件注册 Factory。</w:t>
      </w:r>
    </w:p>
    <w:bookmarkEnd w:id="109"/>
    <w:bookmarkStart w:id="110" w:name="对外接口概要"/>
    <w:p>
      <w:pPr>
        <w:pStyle w:val="Heading3"/>
      </w:pPr>
      <w:r>
        <w:t xml:space="preserve">6.4 对外接口概要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330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接口域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方法示例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/api/v1/migrations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创建迁移任务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任务控制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/api/v1/migrations/{id}/start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启动/暂停/恢复/终止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/api/v1/datasources/test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注册与连通性测试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进度查询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/api/v1/migrations/{id}/progress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阶段进度与指标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校验报告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/api/v1/migrations/{id}/verification/report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差异报告下载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插件目录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已注册插件列表</w:t>
            </w:r>
          </w:p>
        </w:tc>
      </w:tr>
    </w:tbl>
    <w:p>
      <w:pPr>
        <w:pStyle w:val="BodyText"/>
      </w:pPr>
      <w:r>
        <w:t xml:space="preserve">详细请求/响应 Schema 另见《迁移平台 API 接口规范》。</w:t>
      </w:r>
    </w:p>
    <w:bookmarkEnd w:id="110"/>
    <w:bookmarkStart w:id="111" w:name="内部接口原则"/>
    <w:p>
      <w:pPr>
        <w:pStyle w:val="Heading3"/>
      </w:pPr>
      <w:r>
        <w:t xml:space="preserve">6.5 内部接口原则</w:t>
      </w:r>
    </w:p>
    <w:p>
      <w:pPr>
        <w:numPr>
          <w:ilvl w:val="0"/>
          <w:numId w:val="1054"/>
        </w:numPr>
        <w:pStyle w:val="Compact"/>
      </w:pPr>
      <w:r>
        <w:t xml:space="preserve">执行组件与编排层通过 gRPC/HTTP 回调上报状态与进度</w:t>
      </w:r>
    </w:p>
    <w:p>
      <w:pPr>
        <w:numPr>
          <w:ilvl w:val="0"/>
          <w:numId w:val="1054"/>
        </w:numPr>
        <w:pStyle w:val="Compact"/>
      </w:pPr>
      <w:r>
        <w:t xml:space="preserve">位点上报采用异步批量，降低元数据库压力</w:t>
      </w:r>
    </w:p>
    <w:p>
      <w:pPr>
        <w:numPr>
          <w:ilvl w:val="0"/>
          <w:numId w:val="1054"/>
        </w:numPr>
        <w:pStyle w:val="Compact"/>
      </w:pPr>
      <w:r>
        <w:t xml:space="preserve">所有内部调用携带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与租户上下文</w:t>
      </w:r>
    </w:p>
    <w:p>
      <w:pPr>
        <w:numPr>
          <w:ilvl w:val="0"/>
          <w:numId w:val="1054"/>
        </w:numPr>
        <w:pStyle w:val="Compact"/>
      </w:pPr>
      <w:r>
        <w:t xml:space="preserve">控制面接口强调幂等与乐观锁；数据面接口强调背压与可重试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6" w:name="调度与资源管理"/>
    <w:p>
      <w:pPr>
        <w:pStyle w:val="Heading2"/>
      </w:pPr>
      <w:r>
        <w:t xml:space="preserve">7. 调度与资源管理</w:t>
      </w:r>
    </w:p>
    <w:bookmarkStart w:id="113" w:name="调度架构"/>
    <w:p>
      <w:pPr>
        <w:pStyle w:val="Heading3"/>
      </w:pPr>
      <w:r>
        <w:t xml:space="preserve">7.1 调度架构</w:t>
      </w:r>
    </w:p>
    <w:p>
      <w:pPr>
        <w:pStyle w:val="FirstParagraph"/>
      </w:pPr>
      <w:r>
        <w:t xml:space="preserve">调度链路为：编排服务 / 工作流 → 调度器 → 资源池 → Worker 节点池（SyncWorker / StreamWorker）。调度器是控制平面与数据平面的衔接枢纽：上游接收作业规格，下游落实到具体进程与 Slot，并向元数据回写作业生命周期状态。</w:t>
      </w:r>
    </w:p>
    <w:bookmarkEnd w:id="113"/>
    <w:bookmarkStart w:id="114" w:name="调度策略"/>
    <w:p>
      <w:pPr>
        <w:pStyle w:val="Heading3"/>
      </w:pPr>
      <w:r>
        <w:t xml:space="preserve">7.2 调度策略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公平调度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多租户按配额分配，避免饿死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紧急迁移任务优先获得资源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亲和调度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靠近源端，IncrSync 靠近目标端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弹性调度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队列深度驱动 Worker 扩缩容</w:t>
            </w:r>
          </w:p>
        </w:tc>
      </w:tr>
    </w:tbl>
    <w:bookmarkEnd w:id="114"/>
    <w:bookmarkStart w:id="115" w:name="资源与作业映射"/>
    <w:p>
      <w:pPr>
        <w:pStyle w:val="Heading3"/>
      </w:pPr>
      <w:r>
        <w:t xml:space="preserve">7.3 资源与作业映射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作业类型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资源占用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调度产物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SyncWorker /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JVM 进程 + Channel 并发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StreamWorker Slot /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StreamRuntime 执行图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结构/校验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轻量 Worker 或内嵌执行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线程池</w:t>
            </w:r>
          </w:p>
        </w:tc>
      </w:tr>
    </w:tbl>
    <w:p>
      <w:pPr>
        <w:pStyle w:val="BodyText"/>
      </w:pPr>
      <w:r>
        <w:t xml:space="preserve">SyncWorker 以进程/容器为分配单位；StreamWorker Slot 为增量并行度隔离单元。租户配额同时约束两类资源，防止单一任务占满集群。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2" w:name="非功能设计"/>
    <w:p>
      <w:pPr>
        <w:pStyle w:val="Heading2"/>
      </w:pPr>
      <w:r>
        <w:t xml:space="preserve">8. 非功能设计</w:t>
      </w:r>
    </w:p>
    <w:bookmarkStart w:id="117" w:name="容错"/>
    <w:p>
      <w:pPr>
        <w:pStyle w:val="Heading3"/>
      </w:pPr>
      <w:r>
        <w:t xml:space="preserve">8.1 容错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 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Failover 重试（maxRetryTimes）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全量单 Task 失败自动重试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+ Savepoint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增量作业断点续传与手动恢复点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组件级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/ IncrSync 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检测 + HA 重建/切换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脏数据 errorLimit + 差异订正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超限中止；校验差异可订正复检</w:t>
            </w:r>
          </w:p>
        </w:tc>
      </w:tr>
    </w:tbl>
    <w:bookmarkEnd w:id="117"/>
    <w:bookmarkStart w:id="118" w:name="安全"/>
    <w:p>
      <w:pPr>
        <w:pStyle w:val="Heading3"/>
      </w:pPr>
      <w:r>
        <w:t xml:space="preserve">8.2 安全</w:t>
      </w:r>
    </w:p>
    <w:p>
      <w:pPr>
        <w:numPr>
          <w:ilvl w:val="0"/>
          <w:numId w:val="1055"/>
        </w:numPr>
        <w:pStyle w:val="Compact"/>
      </w:pPr>
      <w:r>
        <w:t xml:space="preserve">传输层 TLS 加密</w:t>
      </w:r>
    </w:p>
    <w:p>
      <w:pPr>
        <w:numPr>
          <w:ilvl w:val="0"/>
          <w:numId w:val="1055"/>
        </w:numPr>
        <w:pStyle w:val="Compact"/>
      </w:pPr>
      <w:r>
        <w:t xml:space="preserve">数据源凭证加密存储，执行侧最小权限账号</w:t>
      </w:r>
    </w:p>
    <w:p>
      <w:pPr>
        <w:numPr>
          <w:ilvl w:val="0"/>
          <w:numId w:val="1055"/>
        </w:numPr>
        <w:pStyle w:val="Compact"/>
      </w:pPr>
      <w:r>
        <w:t xml:space="preserve">RBAC + 多租户隔离 + 操作审计</w:t>
      </w:r>
    </w:p>
    <w:p>
      <w:pPr>
        <w:numPr>
          <w:ilvl w:val="0"/>
          <w:numId w:val="1055"/>
        </w:numPr>
        <w:pStyle w:val="Compact"/>
      </w:pPr>
      <w:r>
        <w:t xml:space="preserve">敏感操作（删除任务、业务切换）二次确认或更高权限</w:t>
      </w:r>
    </w:p>
    <w:p>
      <w:pPr>
        <w:numPr>
          <w:ilvl w:val="0"/>
          <w:numId w:val="1055"/>
        </w:numPr>
        <w:pStyle w:val="Compact"/>
      </w:pPr>
      <w:r>
        <w:t xml:space="preserve">鉴权失败默认拒绝（fail-close）</w:t>
      </w:r>
    </w:p>
    <w:bookmarkEnd w:id="118"/>
    <w:bookmarkStart w:id="119" w:name="性能"/>
    <w:p>
      <w:pPr>
        <w:pStyle w:val="Heading3"/>
      </w:pPr>
      <w:r>
        <w:t xml:space="preserve">8.3 性能</w:t>
      </w:r>
    </w:p>
    <w:p>
      <w:pPr>
        <w:numPr>
          <w:ilvl w:val="0"/>
          <w:numId w:val="1056"/>
        </w:numPr>
        <w:pStyle w:val="Compact"/>
      </w:pPr>
      <w:r>
        <w:t xml:space="preserve">全量：表级并行 + Channel 并发 + 限速可配，避免压垮源/目标</w:t>
      </w:r>
    </w:p>
    <w:p>
      <w:pPr>
        <w:numPr>
          <w:ilvl w:val="0"/>
          <w:numId w:val="1056"/>
        </w:numPr>
        <w:pStyle w:val="Compact"/>
      </w:pPr>
      <w:r>
        <w:t xml:space="preserve">增量：并行度与 Slot 匹配；Store 与 IncrSync 部署亲和降低链路延迟</w:t>
      </w:r>
    </w:p>
    <w:p>
      <w:pPr>
        <w:numPr>
          <w:ilvl w:val="0"/>
          <w:numId w:val="1056"/>
        </w:numPr>
        <w:pStyle w:val="Compact"/>
      </w:pPr>
      <w:r>
        <w:t xml:space="preserve">元数据：位点与统计异步批量刷盘</w:t>
      </w:r>
    </w:p>
    <w:p>
      <w:pPr>
        <w:numPr>
          <w:ilvl w:val="0"/>
          <w:numId w:val="1056"/>
        </w:numPr>
        <w:pStyle w:val="Compact"/>
      </w:pPr>
      <w:r>
        <w:t xml:space="preserve">大表校验：分片流式对比，避免内存爆炸</w:t>
      </w:r>
    </w:p>
    <w:bookmarkEnd w:id="119"/>
    <w:bookmarkStart w:id="120" w:name="可观测性"/>
    <w:p>
      <w:pPr>
        <w:pStyle w:val="Heading3"/>
      </w:pPr>
      <w:r>
        <w:t xml:space="preserve">8.4 可观测性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代表指标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吞吐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byteSpeed、recordSpeed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增量同步延迟（秒）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已完成表数/行数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脏数据数、差异行数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健康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组件状态、心跳</w:t>
            </w:r>
          </w:p>
        </w:tc>
      </w:tr>
    </w:tbl>
    <w:p>
      <w:pPr>
        <w:pStyle w:val="BodyText"/>
      </w:pPr>
      <w:r>
        <w:t xml:space="preserve">告警覆盖任务失败、延迟过高、脏数据超限、校验差异、组件异常等，支持分级、抑制与多渠道通知。</w:t>
      </w:r>
    </w:p>
    <w:bookmarkEnd w:id="120"/>
    <w:bookmarkStart w:id="121" w:name="兼容性"/>
    <w:p>
      <w:pPr>
        <w:pStyle w:val="Heading3"/>
      </w:pPr>
      <w:r>
        <w:t xml:space="preserve">8.5 兼容性</w:t>
      </w:r>
    </w:p>
    <w:p>
      <w:pPr>
        <w:numPr>
          <w:ilvl w:val="0"/>
          <w:numId w:val="1057"/>
        </w:numPr>
        <w:pStyle w:val="Compact"/>
      </w:pPr>
      <w:r>
        <w:t xml:space="preserve">插件 SPI 版本化，启动前做兼容性校验</w:t>
      </w:r>
    </w:p>
    <w:p>
      <w:pPr>
        <w:numPr>
          <w:ilvl w:val="0"/>
          <w:numId w:val="1057"/>
        </w:numPr>
        <w:pStyle w:val="Compact"/>
      </w:pPr>
      <w:r>
        <w:t xml:space="preserve">API 多版本共存（</w:t>
      </w:r>
      <w:r>
        <w:rPr>
          <w:rStyle w:val="VerbatimChar"/>
        </w:rPr>
        <w:t xml:space="preserve">/api/v1</w:t>
      </w:r>
      <w:r>
        <w:t xml:space="preserve">、</w:t>
      </w:r>
      <w:r>
        <w:rPr>
          <w:rStyle w:val="VerbatimChar"/>
        </w:rPr>
        <w:t xml:space="preserve">/api/v2</w:t>
      </w:r>
      <w:r>
        <w:t xml:space="preserve">）</w:t>
      </w:r>
    </w:p>
    <w:p>
      <w:pPr>
        <w:numPr>
          <w:ilvl w:val="0"/>
          <w:numId w:val="1057"/>
        </w:numPr>
        <w:pStyle w:val="Compact"/>
      </w:pPr>
      <w:r>
        <w:t xml:space="preserve">映射规则支持按源→目标组合扩展 TypeMapper</w:t>
      </w:r>
    </w:p>
    <w:p>
      <w:pPr>
        <w:numPr>
          <w:ilvl w:val="0"/>
          <w:numId w:val="1057"/>
        </w:numPr>
        <w:pStyle w:val="Compact"/>
      </w:pPr>
      <w:r>
        <w:t xml:space="preserve">元数据 schema 演进需向后兼容，避免升级中断在途任务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9" w:name="附录"/>
    <w:p>
      <w:pPr>
        <w:pStyle w:val="Heading2"/>
      </w:pPr>
      <w:r>
        <w:t xml:space="preserve">9. 附录</w:t>
      </w:r>
    </w:p>
    <w:bookmarkStart w:id="123" w:name="关键设计决策"/>
    <w:p>
      <w:pPr>
        <w:pStyle w:val="Heading3"/>
      </w:pPr>
      <w:r>
        <w:t xml:space="preserve">9.1 关键设计决策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四层 + 数据平面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接入、编排、执行、基础设施职责清晰，便于独立演进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控制面/数据面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编排升级与 Worker 扩容互不影响，故障域隔离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SyncWorker +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统一背压、限速与脏数据治理，插件化扩展源/目标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增量运行时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StreamRuntime + 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满足低延迟追平与断点续传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 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 Column + 增量 DML/DDL/HB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屏蔽源端差异，简化 IncrSync 与校验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位点衔接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全量启动记 startPosition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覆盖全量期间并发写入，避免丢数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 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/ IncrSync 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长驻增量链路对可用性要求最高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目标端策略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开放多数据库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通用迁移平台定位，不绑定单一厂商</w:t>
            </w:r>
          </w:p>
        </w:tc>
      </w:tr>
    </w:tbl>
    <w:bookmarkEnd w:id="123"/>
    <w:bookmarkStart w:id="124" w:name="演进路线"/>
    <w:p>
      <w:pPr>
        <w:pStyle w:val="Heading3"/>
      </w:pPr>
      <w:r>
        <w:t xml:space="preserve">9.2 演进路线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能力范围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控制台 + 单源单目标 + 结构/全量 + 基础监控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增量（Store + IncrSync）+ 任务编排 + 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生产加固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HA、多租户配额、同源 Store 共享、无主键表增强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多地域部署、反向增量、更丰富数据源与自动化切换</w:t>
            </w:r>
          </w:p>
        </w:tc>
      </w:tr>
    </w:tbl>
    <w:bookmarkEnd w:id="124"/>
    <w:bookmarkStart w:id="125" w:name="图索引"/>
    <w:p>
      <w:pPr>
        <w:pStyle w:val="Heading3"/>
      </w:pPr>
      <w:r>
        <w:t xml:space="preserve">9.3 图索引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图号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3-1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images/fig3-1-logical-architecture.png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系统逻辑架构图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3-2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images/fig3-2-module-composition.png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模块组成图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3-3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images/fig3-3-control-data-plane.png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控制平面与数据平面分离图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3-4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images/fig3-4-single-node-deploy.png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单机部署架构图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3-5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images/fig3-5-multi-node-ha.png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多节点 HA 部署架构图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5-1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images/fig5-1-migration-flow.png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标准迁移流程图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5-2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images/fig5-2-state-machine.png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迁移任务状态机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5-3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images/fig5-3-data-flow.png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核心数据流图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5-4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images/fig5-4-sequence.png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端到端迁移时序图</w:t>
            </w:r>
          </w:p>
        </w:tc>
      </w:tr>
    </w:tbl>
    <w:bookmarkEnd w:id="125"/>
    <w:bookmarkStart w:id="128" w:name="文档索引"/>
    <w:p>
      <w:pPr>
        <w:pStyle w:val="Heading3"/>
      </w:pPr>
      <w:r>
        <w:t xml:space="preserve">9.4 文档索引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迁移平台软件设计说明书（本文）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迁移平台软件设计说明书.md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平台概述索引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迁移平台总体设计.md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架构与流程图资源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doc/images/</w:t>
            </w:r>
            <w:r>
              <w:t xml:space="preserve">、</w:t>
            </w:r>
            <w:r>
              <w:rPr>
                <w:rStyle w:val="VerbatimChar"/>
              </w:rPr>
              <w:t xml:space="preserve">doc/diagrams/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文档结束 — 迁移平台软件设计说明书 v3.1（评审稿）</w:t>
      </w:r>
    </w:p>
    <w:bookmarkEnd w:id="128"/>
    <w:bookmarkEnd w:id="129"/>
    <w:bookmarkEnd w:id="1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4" Target="media/rId94.png" /><Relationship Type="http://schemas.openxmlformats.org/officeDocument/2006/relationships/image" Id="rId102" Target="media/rId102.png" /><Relationship Type="http://schemas.openxmlformats.org/officeDocument/2006/relationships/hyperlink" Id="rId127" Target="&#36801;&#31227;&#24179;&#21488;&#24635;&#20307;&#35774;&#35745;.md" TargetMode="External" /><Relationship Type="http://schemas.openxmlformats.org/officeDocument/2006/relationships/hyperlink" Id="rId126" Target="&#36801;&#31227;&#24179;&#21488;&#36719;&#20214;&#35774;&#35745;&#35828;&#26126;&#2007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&#36801;&#31227;&#24179;&#21488;&#24635;&#20307;&#35774;&#35745;.md" TargetMode="External" /><Relationship Type="http://schemas.openxmlformats.org/officeDocument/2006/relationships/hyperlink" Id="rId126" Target="&#36801;&#31227;&#24179;&#21488;&#36719;&#20214;&#35774;&#35745;&#35828;&#26126;&#2007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2026-07-10T03:09:52Z</dcterms:created>
  <dcterms:modified xsi:type="dcterms:W3CDTF">2026-07-10T03:09:52Z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