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56"/>
        </w:rPr>
        <w:t>TALLER 24</w:t>
      </w:r>
    </w:p>
    <w:p>
      <w:pPr>
        <w:spacing w:before="240"/>
        <w:jc w:val="center"/>
      </w:pPr>
      <w:r>
        <w:rPr>
          <w:rFonts w:ascii="Arial" w:hAnsi="Arial"/>
          <w:b/>
          <w:color w:val="365F91"/>
          <w:sz w:val="40"/>
        </w:rPr>
        <w:t>Revisión de Código e Ingeniería Inversa</w:t>
      </w:r>
    </w:p>
    <w:p>
      <w:pPr>
        <w:jc w:val="center"/>
      </w:pPr>
      <w:r>
        <w:rPr>
          <w:rFonts w:ascii="Arial" w:hAnsi="Arial"/>
          <w:b/>
          <w:sz w:val="28"/>
        </w:rPr>
        <w:t>Proyecto: digcompedu-api-v1</w:t>
      </w:r>
    </w:p>
    <w:p>
      <w:pPr>
        <w:spacing w:before="1100"/>
        <w:jc w:val="center"/>
      </w:pPr>
      <w:r>
        <w:rPr>
          <w:rFonts w:ascii="Arial" w:hAnsi="Arial"/>
          <w:b/>
          <w:sz w:val="24"/>
        </w:rPr>
        <w:t xml:space="preserve">Estudiante: </w:t>
      </w:r>
      <w:r>
        <w:rPr>
          <w:rFonts w:ascii="Arial" w:hAnsi="Arial"/>
          <w:sz w:val="24"/>
        </w:rPr>
        <w:t>Diego Loza</w:t>
        <w:br/>
      </w:r>
      <w:r>
        <w:rPr>
          <w:rFonts w:ascii="Arial" w:hAnsi="Arial"/>
          <w:b/>
          <w:sz w:val="24"/>
        </w:rPr>
        <w:t xml:space="preserve">Actividad: </w:t>
      </w:r>
      <w:r>
        <w:rPr>
          <w:rFonts w:ascii="Arial" w:hAnsi="Arial"/>
          <w:sz w:val="24"/>
        </w:rPr>
        <w:t>Flujo HTTP hacia el LLM, mapa conceptual, cuestionario y ampliación en Go</w:t>
        <w:br/>
      </w:r>
      <w:r>
        <w:rPr>
          <w:rFonts w:ascii="Arial" w:hAnsi="Arial"/>
          <w:b/>
          <w:sz w:val="24"/>
        </w:rPr>
        <w:t xml:space="preserve">Fecha: </w:t>
      </w:r>
      <w:r>
        <w:rPr>
          <w:rFonts w:ascii="Arial" w:hAnsi="Arial"/>
          <w:sz w:val="24"/>
        </w:rPr>
        <w:t>21 de agosto de 2026</w:t>
        <w:br/>
      </w:r>
    </w:p>
    <w:p>
      <w:pPr>
        <w:spacing w:before="700"/>
        <w:jc w:val="center"/>
      </w:pPr>
      <w:r>
        <w:rPr>
          <w:rFonts w:ascii="Arial" w:hAnsi="Arial"/>
          <w:color w:val="5A5A5A"/>
          <w:sz w:val="24"/>
        </w:rPr>
        <w:t>Informe técnico</w:t>
      </w:r>
    </w:p>
    <w:p>
      <w:r>
        <w:br w:type="page"/>
      </w:r>
    </w:p>
    <w:p>
      <w:pPr>
        <w:pStyle w:val="Heading1"/>
      </w:pPr>
      <w:r>
        <w:t>1. Introducción y objetivo</w:t>
      </w:r>
    </w:p>
    <w:p>
      <w:pPr>
        <w:spacing w:after="120" w:line="276" w:lineRule="auto"/>
        <w:jc w:val="both"/>
      </w:pPr>
      <w:r>
        <w:rPr>
          <w:rFonts w:ascii="Arial" w:hAnsi="Arial"/>
          <w:sz w:val="22"/>
        </w:rPr>
        <w:t>El presente informe documenta la revisión del proyecto digcompedu-api-v1, una aplicación web desarrollada en Go que permite registrar un docente, enviar la descripción de una actividad pedagógica y obtener una evaluación asistida por un modelo de lenguaje (LLM) basada en tres áreas del marco DigCompEdu. El objetivo de la revisión es comprender el recorrido de una petición HTTP desde la interfaz del usuario hasta la respuesta final, reconocer los archivos y funciones principales, e identificar conceptos de Go utilizados en la solución.</w:t>
      </w:r>
    </w:p>
    <w:p>
      <w:pPr>
        <w:spacing w:after="120" w:line="276" w:lineRule="auto"/>
        <w:jc w:val="both"/>
      </w:pPr>
      <w:r>
        <w:rPr>
          <w:rFonts w:ascii="Arial" w:hAnsi="Arial"/>
          <w:sz w:val="22"/>
        </w:rPr>
        <w:t>La revisión se realizó directamente sobre la estructura del proyecto entregado. Se siguió el flujo desde el formulario web, pasando por el router y los handlers de la API, el servicio de evaluación, el cliente del LLM y la persistencia en SQLite, hasta el regreso del resultado al navegador.</w:t>
      </w:r>
    </w:p>
    <w:p>
      <w:pPr>
        <w:pStyle w:val="Heading1"/>
      </w:pPr>
      <w:r>
        <w:t>2. Mapa conceptual del proyecto</w:t>
      </w:r>
    </w:p>
    <w:p>
      <w:pPr>
        <w:spacing w:after="120" w:line="276" w:lineRule="auto"/>
        <w:jc w:val="both"/>
      </w:pPr>
      <w:r>
        <w:rPr>
          <w:rFonts w:ascii="Arial" w:hAnsi="Arial"/>
          <w:sz w:val="22"/>
        </w:rPr>
        <w:t>El flujo principal puede resumirse de la siguiente manera. Cada bloque muestra el componente, el archivo y la función o responsabilidad principal.</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vAlign w:val="center"/>
            <w:tcMar>
              <w:top w:w="90" w:type="dxa"/>
              <w:start w:w="100" w:type="dxa"/>
              <w:bottom w:w="90" w:type="dxa"/>
              <w:end w:w="100" w:type="dxa"/>
            </w:tcMar>
          </w:tcPr>
          <w:p>
            <w:pPr>
              <w:jc w:val="center"/>
            </w:pPr>
            <w:r>
              <w:rPr>
                <w:rFonts w:ascii="Arial" w:hAnsi="Arial"/>
                <w:b/>
                <w:color w:val="FFFFFF"/>
                <w:sz w:val="19"/>
              </w:rPr>
              <w:t>Paso</w:t>
            </w:r>
          </w:p>
        </w:tc>
        <w:tc>
          <w:tcPr>
            <w:tcW w:type="dxa" w:w="2448"/>
            <w:shd w:fill="1F4E79"/>
            <w:vAlign w:val="center"/>
            <w:tcMar>
              <w:top w:w="90" w:type="dxa"/>
              <w:start w:w="100" w:type="dxa"/>
              <w:bottom w:w="90" w:type="dxa"/>
              <w:end w:w="100" w:type="dxa"/>
            </w:tcMar>
          </w:tcPr>
          <w:p>
            <w:pPr>
              <w:jc w:val="center"/>
            </w:pPr>
            <w:r>
              <w:rPr>
                <w:rFonts w:ascii="Arial" w:hAnsi="Arial"/>
                <w:b/>
                <w:color w:val="FFFFFF"/>
                <w:sz w:val="19"/>
              </w:rPr>
              <w:t>Componente</w:t>
            </w:r>
          </w:p>
        </w:tc>
        <w:tc>
          <w:tcPr>
            <w:tcW w:type="dxa" w:w="2448"/>
            <w:shd w:fill="1F4E79"/>
            <w:vAlign w:val="center"/>
            <w:tcMar>
              <w:top w:w="90" w:type="dxa"/>
              <w:start w:w="100" w:type="dxa"/>
              <w:bottom w:w="90" w:type="dxa"/>
              <w:end w:w="100" w:type="dxa"/>
            </w:tcMar>
          </w:tcPr>
          <w:p>
            <w:pPr>
              <w:jc w:val="center"/>
            </w:pPr>
            <w:r>
              <w:rPr>
                <w:rFonts w:ascii="Arial" w:hAnsi="Arial"/>
                <w:b/>
                <w:color w:val="FFFFFF"/>
                <w:sz w:val="19"/>
              </w:rPr>
              <w:t>Archivo / ruta</w:t>
            </w:r>
          </w:p>
        </w:tc>
        <w:tc>
          <w:tcPr>
            <w:tcW w:type="dxa" w:w="2448"/>
            <w:shd w:fill="1F4E79"/>
            <w:vAlign w:val="center"/>
            <w:tcMar>
              <w:top w:w="90" w:type="dxa"/>
              <w:start w:w="100" w:type="dxa"/>
              <w:bottom w:w="90" w:type="dxa"/>
              <w:end w:w="100" w:type="dxa"/>
            </w:tcMar>
          </w:tcPr>
          <w:p>
            <w:pPr>
              <w:jc w:val="center"/>
            </w:pPr>
            <w:r>
              <w:rPr>
                <w:rFonts w:ascii="Arial" w:hAnsi="Arial"/>
                <w:b/>
                <w:color w:val="FFFFFF"/>
                <w:sz w:val="19"/>
              </w:rPr>
              <w:t>Función en el flujo</w:t>
            </w:r>
          </w:p>
        </w:tc>
      </w:tr>
      <w:tr>
        <w:trPr>
          <w:cantSplit/>
        </w:trPr>
        <w:tc>
          <w:tcPr>
            <w:tcW w:type="dxa" w:w="2448"/>
            <w:tcMar>
              <w:top w:w="90" w:type="dxa"/>
              <w:start w:w="100" w:type="dxa"/>
              <w:bottom w:w="90" w:type="dxa"/>
              <w:end w:w="100" w:type="dxa"/>
            </w:tcMar>
            <w:vAlign w:val="center"/>
          </w:tcPr>
          <w:p>
            <w:pPr>
              <w:jc w:val="center"/>
            </w:pPr>
            <w:r>
              <w:rPr>
                <w:rFonts w:ascii="Arial" w:hAnsi="Arial"/>
                <w:b/>
                <w:sz w:val="18"/>
              </w:rPr>
              <w:t>1</w:t>
            </w:r>
          </w:p>
        </w:tc>
        <w:tc>
          <w:tcPr>
            <w:tcW w:type="dxa" w:w="2448"/>
            <w:tcMar>
              <w:top w:w="90" w:type="dxa"/>
              <w:start w:w="100" w:type="dxa"/>
              <w:bottom w:w="90" w:type="dxa"/>
              <w:end w:w="100" w:type="dxa"/>
            </w:tcMar>
            <w:vAlign w:val="center"/>
          </w:tcPr>
          <w:p>
            <w:pPr>
              <w:jc w:val="left"/>
            </w:pPr>
            <w:r>
              <w:rPr>
                <w:rFonts w:ascii="Arial" w:hAnsi="Arial"/>
                <w:sz w:val="18"/>
              </w:rPr>
              <w:t>Usuario / formulario</w:t>
            </w:r>
          </w:p>
        </w:tc>
        <w:tc>
          <w:tcPr>
            <w:tcW w:type="dxa" w:w="2448"/>
            <w:tcMar>
              <w:top w:w="90" w:type="dxa"/>
              <w:start w:w="100" w:type="dxa"/>
              <w:bottom w:w="90" w:type="dxa"/>
              <w:end w:w="100" w:type="dxa"/>
            </w:tcMar>
            <w:vAlign w:val="center"/>
          </w:tcPr>
          <w:p>
            <w:pPr>
              <w:jc w:val="left"/>
            </w:pPr>
            <w:r>
              <w:rPr>
                <w:rFonts w:ascii="Arial" w:hAnsi="Arial"/>
                <w:sz w:val="18"/>
              </w:rPr>
              <w:t>cmd/server/web/index.html</w:t>
            </w:r>
          </w:p>
        </w:tc>
        <w:tc>
          <w:tcPr>
            <w:tcW w:type="dxa" w:w="2448"/>
            <w:tcMar>
              <w:top w:w="90" w:type="dxa"/>
              <w:start w:w="100" w:type="dxa"/>
              <w:bottom w:w="90" w:type="dxa"/>
              <w:end w:w="100" w:type="dxa"/>
            </w:tcMar>
            <w:vAlign w:val="center"/>
          </w:tcPr>
          <w:p>
            <w:pPr>
              <w:jc w:val="left"/>
            </w:pPr>
            <w:r>
              <w:rPr>
                <w:rFonts w:ascii="Arial" w:hAnsi="Arial"/>
                <w:sz w:val="18"/>
              </w:rPr>
              <w:t>El usuario completa los datos y presiona “Enviar”.</w:t>
            </w:r>
          </w:p>
        </w:tc>
      </w:tr>
      <w:tr>
        <w:trPr>
          <w:cantSplit/>
        </w:trPr>
        <w:tc>
          <w:tcPr>
            <w:tcW w:type="dxa" w:w="2448"/>
            <w:tcMar>
              <w:top w:w="90" w:type="dxa"/>
              <w:start w:w="100" w:type="dxa"/>
              <w:bottom w:w="90" w:type="dxa"/>
              <w:end w:w="100" w:type="dxa"/>
            </w:tcMar>
            <w:shd w:fill="F6F8FA"/>
            <w:vAlign w:val="center"/>
          </w:tcPr>
          <w:p>
            <w:pPr>
              <w:jc w:val="center"/>
            </w:pPr>
            <w:r>
              <w:rPr>
                <w:rFonts w:ascii="Arial" w:hAnsi="Arial"/>
                <w:b/>
                <w:sz w:val="18"/>
              </w:rPr>
              <w:t>2</w:t>
            </w:r>
          </w:p>
        </w:tc>
        <w:tc>
          <w:tcPr>
            <w:tcW w:type="dxa" w:w="2448"/>
            <w:tcMar>
              <w:top w:w="90" w:type="dxa"/>
              <w:start w:w="100" w:type="dxa"/>
              <w:bottom w:w="90" w:type="dxa"/>
              <w:end w:w="100" w:type="dxa"/>
            </w:tcMar>
            <w:shd w:fill="F6F8FA"/>
            <w:vAlign w:val="center"/>
          </w:tcPr>
          <w:p>
            <w:pPr>
              <w:jc w:val="left"/>
            </w:pPr>
            <w:r>
              <w:rPr>
                <w:rFonts w:ascii="Arial" w:hAnsi="Arial"/>
                <w:sz w:val="18"/>
              </w:rPr>
              <w:t>Frontend JavaScript</w:t>
            </w:r>
          </w:p>
        </w:tc>
        <w:tc>
          <w:tcPr>
            <w:tcW w:type="dxa" w:w="2448"/>
            <w:tcMar>
              <w:top w:w="90" w:type="dxa"/>
              <w:start w:w="100" w:type="dxa"/>
              <w:bottom w:w="90" w:type="dxa"/>
              <w:end w:w="100" w:type="dxa"/>
            </w:tcMar>
            <w:shd w:fill="F6F8FA"/>
            <w:vAlign w:val="center"/>
          </w:tcPr>
          <w:p>
            <w:pPr>
              <w:jc w:val="left"/>
            </w:pPr>
            <w:r>
              <w:rPr>
                <w:rFonts w:ascii="Arial" w:hAnsi="Arial"/>
                <w:sz w:val="18"/>
              </w:rPr>
              <w:t>cmd/server/web/app.js</w:t>
            </w:r>
          </w:p>
        </w:tc>
        <w:tc>
          <w:tcPr>
            <w:tcW w:type="dxa" w:w="2448"/>
            <w:tcMar>
              <w:top w:w="90" w:type="dxa"/>
              <w:start w:w="100" w:type="dxa"/>
              <w:bottom w:w="90" w:type="dxa"/>
              <w:end w:w="100" w:type="dxa"/>
            </w:tcMar>
            <w:shd w:fill="F6F8FA"/>
            <w:vAlign w:val="center"/>
          </w:tcPr>
          <w:p>
            <w:pPr>
              <w:jc w:val="left"/>
            </w:pPr>
            <w:r>
              <w:rPr>
                <w:rFonts w:ascii="Arial" w:hAnsi="Arial"/>
                <w:sz w:val="18"/>
              </w:rPr>
              <w:t>El evento submit captura los datos y ejecuta fetch hacia la API.</w:t>
            </w:r>
          </w:p>
        </w:tc>
      </w:tr>
      <w:tr>
        <w:trPr>
          <w:cantSplit/>
        </w:trPr>
        <w:tc>
          <w:tcPr>
            <w:tcW w:type="dxa" w:w="2448"/>
            <w:tcMar>
              <w:top w:w="90" w:type="dxa"/>
              <w:start w:w="100" w:type="dxa"/>
              <w:bottom w:w="90" w:type="dxa"/>
              <w:end w:w="100" w:type="dxa"/>
            </w:tcMar>
            <w:vAlign w:val="center"/>
          </w:tcPr>
          <w:p>
            <w:pPr>
              <w:jc w:val="center"/>
            </w:pPr>
            <w:r>
              <w:rPr>
                <w:rFonts w:ascii="Arial" w:hAnsi="Arial"/>
                <w:b/>
                <w:sz w:val="18"/>
              </w:rPr>
              <w:t>3</w:t>
            </w:r>
          </w:p>
        </w:tc>
        <w:tc>
          <w:tcPr>
            <w:tcW w:type="dxa" w:w="2448"/>
            <w:tcMar>
              <w:top w:w="90" w:type="dxa"/>
              <w:start w:w="100" w:type="dxa"/>
              <w:bottom w:w="90" w:type="dxa"/>
              <w:end w:w="100" w:type="dxa"/>
            </w:tcMar>
            <w:vAlign w:val="center"/>
          </w:tcPr>
          <w:p>
            <w:pPr>
              <w:jc w:val="left"/>
            </w:pPr>
            <w:r>
              <w:rPr>
                <w:rFonts w:ascii="Arial" w:hAnsi="Arial"/>
                <w:sz w:val="18"/>
              </w:rPr>
              <w:t>Registro del docente</w:t>
            </w:r>
          </w:p>
        </w:tc>
        <w:tc>
          <w:tcPr>
            <w:tcW w:type="dxa" w:w="2448"/>
            <w:tcMar>
              <w:top w:w="90" w:type="dxa"/>
              <w:start w:w="100" w:type="dxa"/>
              <w:bottom w:w="90" w:type="dxa"/>
              <w:end w:w="100" w:type="dxa"/>
            </w:tcMar>
            <w:vAlign w:val="center"/>
          </w:tcPr>
          <w:p>
            <w:pPr>
              <w:jc w:val="left"/>
            </w:pPr>
            <w:r>
              <w:rPr>
                <w:rFonts w:ascii="Arial" w:hAnsi="Arial"/>
                <w:sz w:val="18"/>
              </w:rPr>
              <w:t>POST /api/docentes</w:t>
            </w:r>
          </w:p>
        </w:tc>
        <w:tc>
          <w:tcPr>
            <w:tcW w:type="dxa" w:w="2448"/>
            <w:tcMar>
              <w:top w:w="90" w:type="dxa"/>
              <w:start w:w="100" w:type="dxa"/>
              <w:bottom w:w="90" w:type="dxa"/>
              <w:end w:w="100" w:type="dxa"/>
            </w:tcMar>
            <w:vAlign w:val="center"/>
          </w:tcPr>
          <w:p>
            <w:pPr>
              <w:jc w:val="left"/>
            </w:pPr>
            <w:r>
              <w:rPr>
                <w:rFonts w:ascii="Arial" w:hAnsi="Arial"/>
                <w:sz w:val="18"/>
              </w:rPr>
              <w:t>Si todavía no existe un teacher_id en la sesión, se crea el docente.</w:t>
            </w:r>
          </w:p>
        </w:tc>
      </w:tr>
      <w:tr>
        <w:trPr>
          <w:cantSplit/>
        </w:trPr>
        <w:tc>
          <w:tcPr>
            <w:tcW w:type="dxa" w:w="2448"/>
            <w:tcMar>
              <w:top w:w="90" w:type="dxa"/>
              <w:start w:w="100" w:type="dxa"/>
              <w:bottom w:w="90" w:type="dxa"/>
              <w:end w:w="100" w:type="dxa"/>
            </w:tcMar>
            <w:shd w:fill="F6F8FA"/>
            <w:vAlign w:val="center"/>
          </w:tcPr>
          <w:p>
            <w:pPr>
              <w:jc w:val="center"/>
            </w:pPr>
            <w:r>
              <w:rPr>
                <w:rFonts w:ascii="Arial" w:hAnsi="Arial"/>
                <w:b/>
                <w:sz w:val="18"/>
              </w:rPr>
              <w:t>4</w:t>
            </w:r>
          </w:p>
        </w:tc>
        <w:tc>
          <w:tcPr>
            <w:tcW w:type="dxa" w:w="2448"/>
            <w:tcMar>
              <w:top w:w="90" w:type="dxa"/>
              <w:start w:w="100" w:type="dxa"/>
              <w:bottom w:w="90" w:type="dxa"/>
              <w:end w:w="100" w:type="dxa"/>
            </w:tcMar>
            <w:shd w:fill="F6F8FA"/>
            <w:vAlign w:val="center"/>
          </w:tcPr>
          <w:p>
            <w:pPr>
              <w:jc w:val="left"/>
            </w:pPr>
            <w:r>
              <w:rPr>
                <w:rFonts w:ascii="Arial" w:hAnsi="Arial"/>
                <w:sz w:val="18"/>
              </w:rPr>
              <w:t>Router + Handler</w:t>
            </w:r>
          </w:p>
        </w:tc>
        <w:tc>
          <w:tcPr>
            <w:tcW w:type="dxa" w:w="2448"/>
            <w:tcMar>
              <w:top w:w="90" w:type="dxa"/>
              <w:start w:w="100" w:type="dxa"/>
              <w:bottom w:w="90" w:type="dxa"/>
              <w:end w:w="100" w:type="dxa"/>
            </w:tcMar>
            <w:shd w:fill="F6F8FA"/>
            <w:vAlign w:val="center"/>
          </w:tcPr>
          <w:p>
            <w:pPr>
              <w:jc w:val="left"/>
            </w:pPr>
            <w:r>
              <w:rPr>
                <w:rFonts w:ascii="Arial" w:hAnsi="Arial"/>
                <w:sz w:val="18"/>
              </w:rPr>
              <w:t>internal/api/router.go · handlers.go</w:t>
            </w:r>
          </w:p>
        </w:tc>
        <w:tc>
          <w:tcPr>
            <w:tcW w:type="dxa" w:w="2448"/>
            <w:tcMar>
              <w:top w:w="90" w:type="dxa"/>
              <w:start w:w="100" w:type="dxa"/>
              <w:bottom w:w="90" w:type="dxa"/>
              <w:end w:w="100" w:type="dxa"/>
            </w:tcMar>
            <w:shd w:fill="F6F8FA"/>
            <w:vAlign w:val="center"/>
          </w:tcPr>
          <w:p>
            <w:pPr>
              <w:jc w:val="left"/>
            </w:pPr>
            <w:r>
              <w:rPr>
                <w:rFonts w:ascii="Arial" w:hAnsi="Arial"/>
                <w:sz w:val="18"/>
              </w:rPr>
              <w:t>NewRouter dirige la ruta y EvaluarActividad valida/decodifica el JSON.</w:t>
            </w:r>
          </w:p>
        </w:tc>
      </w:tr>
      <w:tr>
        <w:trPr>
          <w:cantSplit/>
        </w:trPr>
        <w:tc>
          <w:tcPr>
            <w:tcW w:type="dxa" w:w="2448"/>
            <w:tcMar>
              <w:top w:w="90" w:type="dxa"/>
              <w:start w:w="100" w:type="dxa"/>
              <w:bottom w:w="90" w:type="dxa"/>
              <w:end w:w="100" w:type="dxa"/>
            </w:tcMar>
            <w:vAlign w:val="center"/>
          </w:tcPr>
          <w:p>
            <w:pPr>
              <w:jc w:val="center"/>
            </w:pPr>
            <w:r>
              <w:rPr>
                <w:rFonts w:ascii="Arial" w:hAnsi="Arial"/>
                <w:b/>
                <w:sz w:val="18"/>
              </w:rPr>
              <w:t>5</w:t>
            </w:r>
          </w:p>
        </w:tc>
        <w:tc>
          <w:tcPr>
            <w:tcW w:type="dxa" w:w="2448"/>
            <w:tcMar>
              <w:top w:w="90" w:type="dxa"/>
              <w:start w:w="100" w:type="dxa"/>
              <w:bottom w:w="90" w:type="dxa"/>
              <w:end w:w="100" w:type="dxa"/>
            </w:tcMar>
            <w:vAlign w:val="center"/>
          </w:tcPr>
          <w:p>
            <w:pPr>
              <w:jc w:val="left"/>
            </w:pPr>
            <w:r>
              <w:rPr>
                <w:rFonts w:ascii="Arial" w:hAnsi="Arial"/>
                <w:sz w:val="18"/>
              </w:rPr>
              <w:t>Servicio de evaluación</w:t>
            </w:r>
          </w:p>
        </w:tc>
        <w:tc>
          <w:tcPr>
            <w:tcW w:type="dxa" w:w="2448"/>
            <w:tcMar>
              <w:top w:w="90" w:type="dxa"/>
              <w:start w:w="100" w:type="dxa"/>
              <w:bottom w:w="90" w:type="dxa"/>
              <w:end w:w="100" w:type="dxa"/>
            </w:tcMar>
            <w:vAlign w:val="center"/>
          </w:tcPr>
          <w:p>
            <w:pPr>
              <w:jc w:val="left"/>
            </w:pPr>
            <w:r>
              <w:rPr>
                <w:rFonts w:ascii="Arial" w:hAnsi="Arial"/>
                <w:sz w:val="18"/>
              </w:rPr>
              <w:t>internal/evaluator/service.go</w:t>
            </w:r>
          </w:p>
        </w:tc>
        <w:tc>
          <w:tcPr>
            <w:tcW w:type="dxa" w:w="2448"/>
            <w:tcMar>
              <w:top w:w="90" w:type="dxa"/>
              <w:start w:w="100" w:type="dxa"/>
              <w:bottom w:w="90" w:type="dxa"/>
              <w:end w:w="100" w:type="dxa"/>
            </w:tcMar>
            <w:vAlign w:val="center"/>
          </w:tcPr>
          <w:p>
            <w:pPr>
              <w:jc w:val="left"/>
            </w:pPr>
            <w:r>
              <w:rPr>
                <w:rFonts w:ascii="Arial" w:hAnsi="Arial"/>
                <w:sz w:val="18"/>
              </w:rPr>
              <w:t>EvaluarActividad construye el prompt, invoca el LLM y procesa el resultado.</w:t>
            </w:r>
          </w:p>
        </w:tc>
      </w:tr>
      <w:tr>
        <w:trPr>
          <w:cantSplit/>
        </w:trPr>
        <w:tc>
          <w:tcPr>
            <w:tcW w:type="dxa" w:w="2448"/>
            <w:tcMar>
              <w:top w:w="90" w:type="dxa"/>
              <w:start w:w="100" w:type="dxa"/>
              <w:bottom w:w="90" w:type="dxa"/>
              <w:end w:w="100" w:type="dxa"/>
            </w:tcMar>
            <w:shd w:fill="F6F8FA"/>
            <w:vAlign w:val="center"/>
          </w:tcPr>
          <w:p>
            <w:pPr>
              <w:jc w:val="center"/>
            </w:pPr>
            <w:r>
              <w:rPr>
                <w:rFonts w:ascii="Arial" w:hAnsi="Arial"/>
                <w:b/>
                <w:sz w:val="18"/>
              </w:rPr>
              <w:t>6</w:t>
            </w:r>
          </w:p>
        </w:tc>
        <w:tc>
          <w:tcPr>
            <w:tcW w:type="dxa" w:w="2448"/>
            <w:tcMar>
              <w:top w:w="90" w:type="dxa"/>
              <w:start w:w="100" w:type="dxa"/>
              <w:bottom w:w="90" w:type="dxa"/>
              <w:end w:w="100" w:type="dxa"/>
            </w:tcMar>
            <w:shd w:fill="F6F8FA"/>
            <w:vAlign w:val="center"/>
          </w:tcPr>
          <w:p>
            <w:pPr>
              <w:jc w:val="left"/>
            </w:pPr>
            <w:r>
              <w:rPr>
                <w:rFonts w:ascii="Arial" w:hAnsi="Arial"/>
                <w:sz w:val="18"/>
              </w:rPr>
              <w:t>LLM</w:t>
            </w:r>
          </w:p>
        </w:tc>
        <w:tc>
          <w:tcPr>
            <w:tcW w:type="dxa" w:w="2448"/>
            <w:tcMar>
              <w:top w:w="90" w:type="dxa"/>
              <w:start w:w="100" w:type="dxa"/>
              <w:bottom w:w="90" w:type="dxa"/>
              <w:end w:w="100" w:type="dxa"/>
            </w:tcMar>
            <w:shd w:fill="F6F8FA"/>
            <w:vAlign w:val="center"/>
          </w:tcPr>
          <w:p>
            <w:pPr>
              <w:jc w:val="left"/>
            </w:pPr>
            <w:r>
              <w:rPr>
                <w:rFonts w:ascii="Arial" w:hAnsi="Arial"/>
                <w:sz w:val="18"/>
              </w:rPr>
              <w:t>internal/llm/prompt.go · groq_client.go</w:t>
            </w:r>
          </w:p>
        </w:tc>
        <w:tc>
          <w:tcPr>
            <w:tcW w:type="dxa" w:w="2448"/>
            <w:tcMar>
              <w:top w:w="90" w:type="dxa"/>
              <w:start w:w="100" w:type="dxa"/>
              <w:bottom w:w="90" w:type="dxa"/>
              <w:end w:w="100" w:type="dxa"/>
            </w:tcMar>
            <w:shd w:fill="F6F8FA"/>
            <w:vAlign w:val="center"/>
          </w:tcPr>
          <w:p>
            <w:pPr>
              <w:jc w:val="left"/>
            </w:pPr>
            <w:r>
              <w:rPr>
                <w:rFonts w:ascii="Arial" w:hAnsi="Arial"/>
                <w:sz w:val="18"/>
              </w:rPr>
              <w:t>ConstruirPrompt prepara la instrucción y GroqClient.Analizar llama a la API externa.</w:t>
            </w:r>
          </w:p>
        </w:tc>
      </w:tr>
      <w:tr>
        <w:trPr>
          <w:cantSplit/>
        </w:trPr>
        <w:tc>
          <w:tcPr>
            <w:tcW w:type="dxa" w:w="2448"/>
            <w:tcMar>
              <w:top w:w="90" w:type="dxa"/>
              <w:start w:w="100" w:type="dxa"/>
              <w:bottom w:w="90" w:type="dxa"/>
              <w:end w:w="100" w:type="dxa"/>
            </w:tcMar>
            <w:vAlign w:val="center"/>
          </w:tcPr>
          <w:p>
            <w:pPr>
              <w:jc w:val="center"/>
            </w:pPr>
            <w:r>
              <w:rPr>
                <w:rFonts w:ascii="Arial" w:hAnsi="Arial"/>
                <w:b/>
                <w:sz w:val="18"/>
              </w:rPr>
              <w:t>7</w:t>
            </w:r>
          </w:p>
        </w:tc>
        <w:tc>
          <w:tcPr>
            <w:tcW w:type="dxa" w:w="2448"/>
            <w:tcMar>
              <w:top w:w="90" w:type="dxa"/>
              <w:start w:w="100" w:type="dxa"/>
              <w:bottom w:w="90" w:type="dxa"/>
              <w:end w:w="100" w:type="dxa"/>
            </w:tcMar>
            <w:vAlign w:val="center"/>
          </w:tcPr>
          <w:p>
            <w:pPr>
              <w:jc w:val="left"/>
            </w:pPr>
            <w:r>
              <w:rPr>
                <w:rFonts w:ascii="Arial" w:hAnsi="Arial"/>
                <w:sz w:val="18"/>
              </w:rPr>
              <w:t>Procesamiento + BD</w:t>
            </w:r>
          </w:p>
        </w:tc>
        <w:tc>
          <w:tcPr>
            <w:tcW w:type="dxa" w:w="2448"/>
            <w:tcMar>
              <w:top w:w="90" w:type="dxa"/>
              <w:start w:w="100" w:type="dxa"/>
              <w:bottom w:w="90" w:type="dxa"/>
              <w:end w:w="100" w:type="dxa"/>
            </w:tcMar>
            <w:vAlign w:val="center"/>
          </w:tcPr>
          <w:p>
            <w:pPr>
              <w:jc w:val="left"/>
            </w:pPr>
            <w:r>
              <w:rPr>
                <w:rFonts w:ascii="Arial" w:hAnsi="Arial"/>
                <w:sz w:val="18"/>
              </w:rPr>
              <w:t>internal/evaluator/parser.go · internal/storage/sqlite.go</w:t>
            </w:r>
          </w:p>
        </w:tc>
        <w:tc>
          <w:tcPr>
            <w:tcW w:type="dxa" w:w="2448"/>
            <w:tcMar>
              <w:top w:w="90" w:type="dxa"/>
              <w:start w:w="100" w:type="dxa"/>
              <w:bottom w:w="90" w:type="dxa"/>
              <w:end w:w="100" w:type="dxa"/>
            </w:tcMar>
            <w:vAlign w:val="center"/>
          </w:tcPr>
          <w:p>
            <w:pPr>
              <w:jc w:val="left"/>
            </w:pPr>
            <w:r>
              <w:rPr>
                <w:rFonts w:ascii="Arial" w:hAnsi="Arial"/>
                <w:sz w:val="18"/>
              </w:rPr>
              <w:t>Se valida el JSON del LLM y se guarda la evaluación en SQLite.</w:t>
            </w:r>
          </w:p>
        </w:tc>
      </w:tr>
      <w:tr>
        <w:trPr>
          <w:cantSplit/>
        </w:trPr>
        <w:tc>
          <w:tcPr>
            <w:tcW w:type="dxa" w:w="2448"/>
            <w:tcMar>
              <w:top w:w="90" w:type="dxa"/>
              <w:start w:w="100" w:type="dxa"/>
              <w:bottom w:w="90" w:type="dxa"/>
              <w:end w:w="100" w:type="dxa"/>
            </w:tcMar>
            <w:shd w:fill="F6F8FA"/>
            <w:vAlign w:val="center"/>
          </w:tcPr>
          <w:p>
            <w:pPr>
              <w:jc w:val="center"/>
            </w:pPr>
            <w:r>
              <w:rPr>
                <w:rFonts w:ascii="Arial" w:hAnsi="Arial"/>
                <w:b/>
                <w:sz w:val="18"/>
              </w:rPr>
              <w:t>8</w:t>
            </w:r>
          </w:p>
        </w:tc>
        <w:tc>
          <w:tcPr>
            <w:tcW w:type="dxa" w:w="2448"/>
            <w:tcMar>
              <w:top w:w="90" w:type="dxa"/>
              <w:start w:w="100" w:type="dxa"/>
              <w:bottom w:w="90" w:type="dxa"/>
              <w:end w:w="100" w:type="dxa"/>
            </w:tcMar>
            <w:shd w:fill="F6F8FA"/>
            <w:vAlign w:val="center"/>
          </w:tcPr>
          <w:p>
            <w:pPr>
              <w:jc w:val="left"/>
            </w:pPr>
            <w:r>
              <w:rPr>
                <w:rFonts w:ascii="Arial" w:hAnsi="Arial"/>
                <w:sz w:val="18"/>
              </w:rPr>
              <w:t>Respuesta al usuario</w:t>
            </w:r>
          </w:p>
        </w:tc>
        <w:tc>
          <w:tcPr>
            <w:tcW w:type="dxa" w:w="2448"/>
            <w:tcMar>
              <w:top w:w="90" w:type="dxa"/>
              <w:start w:w="100" w:type="dxa"/>
              <w:bottom w:w="90" w:type="dxa"/>
              <w:end w:w="100" w:type="dxa"/>
            </w:tcMar>
            <w:shd w:fill="F6F8FA"/>
            <w:vAlign w:val="center"/>
          </w:tcPr>
          <w:p>
            <w:pPr>
              <w:jc w:val="left"/>
            </w:pPr>
            <w:r>
              <w:rPr>
                <w:rFonts w:ascii="Arial" w:hAnsi="Arial"/>
                <w:sz w:val="18"/>
              </w:rPr>
              <w:t>handlers.go · app.js</w:t>
            </w:r>
          </w:p>
        </w:tc>
        <w:tc>
          <w:tcPr>
            <w:tcW w:type="dxa" w:w="2448"/>
            <w:tcMar>
              <w:top w:w="90" w:type="dxa"/>
              <w:start w:w="100" w:type="dxa"/>
              <w:bottom w:w="90" w:type="dxa"/>
              <w:end w:w="100" w:type="dxa"/>
            </w:tcMar>
            <w:shd w:fill="F6F8FA"/>
            <w:vAlign w:val="center"/>
          </w:tcPr>
          <w:p>
            <w:pPr>
              <w:jc w:val="left"/>
            </w:pPr>
            <w:r>
              <w:rPr>
                <w:rFonts w:ascii="Arial" w:hAnsi="Arial"/>
                <w:sz w:val="18"/>
              </w:rPr>
              <w:t>respondJSON devuelve HTTP/JSON y renderizarResultado muestra los resultados en pantalla.</w:t>
            </w:r>
          </w:p>
        </w:tc>
      </w:tr>
    </w:tbl>
    <w:p>
      <w:pPr>
        <w:pStyle w:val="Heading1"/>
      </w:pPr>
      <w:r>
        <w:t>3. Recorrido de la petición HTTP: desde “Enviar” hasta el LLM</w:t>
      </w:r>
    </w:p>
    <w:p>
      <w:pPr>
        <w:spacing w:after="100"/>
        <w:jc w:val="both"/>
      </w:pPr>
      <w:r>
        <w:rPr>
          <w:rFonts w:ascii="Arial" w:hAnsi="Arial"/>
          <w:b/>
          <w:sz w:val="22"/>
        </w:rPr>
        <w:t xml:space="preserve">Envío del formulario: </w:t>
      </w:r>
      <w:r>
        <w:rPr>
          <w:rFonts w:ascii="Arial" w:hAnsi="Arial"/>
          <w:sz w:val="22"/>
        </w:rPr>
        <w:t>En cmd/server/web/app.js se registra form.addEventListener("submit", ...). La función evita el envío tradicional del formulario con preventDefault(), obtiene nombre, disciplina y descripción, y activa el estado de carga.</w:t>
      </w:r>
    </w:p>
    <w:p>
      <w:pPr>
        <w:spacing w:after="100"/>
        <w:jc w:val="both"/>
      </w:pPr>
      <w:r>
        <w:rPr>
          <w:rFonts w:ascii="Arial" w:hAnsi="Arial"/>
          <w:b/>
          <w:sz w:val="22"/>
        </w:rPr>
        <w:t xml:space="preserve">Creación del docente: </w:t>
      </w:r>
      <w:r>
        <w:rPr>
          <w:rFonts w:ascii="Arial" w:hAnsi="Arial"/>
          <w:sz w:val="22"/>
        </w:rPr>
        <w:t>Si teacherIdActual todavía es null, el frontend ejecuta un POST a /api/docentes enviando JSON. La ruta está registrada en NewRouter y llega a Handler.CrearDocente, que decodifica el cuerpo con encoding/json, valida los campos, genera un UUID y guarda el docente mediante el repositorio.</w:t>
      </w:r>
    </w:p>
    <w:p>
      <w:pPr>
        <w:spacing w:after="100"/>
        <w:jc w:val="both"/>
      </w:pPr>
      <w:r>
        <w:rPr>
          <w:rFonts w:ascii="Arial" w:hAnsi="Arial"/>
          <w:b/>
          <w:sz w:val="22"/>
        </w:rPr>
        <w:t xml:space="preserve">Solicitud de evaluación: </w:t>
      </w:r>
      <w:r>
        <w:rPr>
          <w:rFonts w:ascii="Arial" w:hAnsi="Arial"/>
          <w:sz w:val="22"/>
        </w:rPr>
        <w:t>Luego el navegador hace POST /api/evaluaciones con teacher_id, descripcion y disciplina. El router dirige la solicitud a Handler.EvaluarActividad.</w:t>
      </w:r>
    </w:p>
    <w:p>
      <w:pPr>
        <w:spacing w:after="100"/>
        <w:jc w:val="both"/>
      </w:pPr>
      <w:r>
        <w:rPr>
          <w:rFonts w:ascii="Arial" w:hAnsi="Arial"/>
          <w:b/>
          <w:sz w:val="22"/>
        </w:rPr>
        <w:t xml:space="preserve">Validación y servicio: </w:t>
      </w:r>
      <w:r>
        <w:rPr>
          <w:rFonts w:ascii="Arial" w:hAnsi="Arial"/>
          <w:sz w:val="22"/>
        </w:rPr>
        <w:t>Handler.EvaluarActividad usa json.NewDecoder(r.Body).Decode para convertir el JSON en EvaluarRequest. Después llama a Service.EvaluarActividad pasando r.Context(), lo que permite propagar cancelación y tiempo de vida de la petición.</w:t>
      </w:r>
    </w:p>
    <w:p>
      <w:pPr>
        <w:spacing w:after="100"/>
        <w:jc w:val="both"/>
      </w:pPr>
      <w:r>
        <w:rPr>
          <w:rFonts w:ascii="Arial" w:hAnsi="Arial"/>
          <w:b/>
          <w:sz w:val="22"/>
        </w:rPr>
        <w:t xml:space="preserve">Construcción del prompt: </w:t>
      </w:r>
      <w:r>
        <w:rPr>
          <w:rFonts w:ascii="Arial" w:hAnsi="Arial"/>
          <w:sz w:val="22"/>
        </w:rPr>
        <w:t>El servicio llama a llm.ConstruirPrompt(descripcion, disciplina). Esta función arma la instrucción para evaluar únicamente las tres áreas definidas y exige una respuesta en formato JSON.</w:t>
      </w:r>
    </w:p>
    <w:p>
      <w:pPr>
        <w:spacing w:after="100"/>
        <w:jc w:val="both"/>
      </w:pPr>
      <w:r>
        <w:rPr>
          <w:rFonts w:ascii="Arial" w:hAnsi="Arial"/>
          <w:b/>
          <w:sz w:val="22"/>
        </w:rPr>
        <w:t xml:space="preserve">Llamada al LLM: </w:t>
      </w:r>
      <w:r>
        <w:rPr>
          <w:rFonts w:ascii="Arial" w:hAnsi="Arial"/>
          <w:sz w:val="22"/>
        </w:rPr>
        <w:t>En cmd/server/main.go se crea llm.NewGroqClient. Su método Analizar construye un POST hacia la API de Groq, añade Authorization Bearer, envía el prompt y obtiene el contenido generado por el modelo.</w:t>
      </w:r>
    </w:p>
    <w:p>
      <w:pPr>
        <w:spacing w:after="100"/>
        <w:jc w:val="both"/>
      </w:pPr>
      <w:r>
        <w:rPr>
          <w:rFonts w:ascii="Arial" w:hAnsi="Arial"/>
          <w:b/>
          <w:sz w:val="22"/>
        </w:rPr>
        <w:t xml:space="preserve">Interpretación y persistencia: </w:t>
      </w:r>
      <w:r>
        <w:rPr>
          <w:rFonts w:ascii="Arial" w:hAnsi="Arial"/>
          <w:sz w:val="22"/>
        </w:rPr>
        <w:t>parsearRespuestaLLM extrae el bloque JSON, valida que existan exactamente tres áreas y que los niveles estén entre 1 y 4. Luego el servicio agrega la nota ética y guarda la evaluación y sus resultados en SQLite mediante Repository.Guardar.</w:t>
      </w:r>
    </w:p>
    <w:p>
      <w:pPr>
        <w:spacing w:after="100"/>
        <w:jc w:val="both"/>
      </w:pPr>
      <w:r>
        <w:rPr>
          <w:rFonts w:ascii="Arial" w:hAnsi="Arial"/>
          <w:b/>
          <w:sz w:val="22"/>
        </w:rPr>
        <w:t xml:space="preserve">Respuesta HTTP y renderizado: </w:t>
      </w:r>
      <w:r>
        <w:rPr>
          <w:rFonts w:ascii="Arial" w:hAnsi="Arial"/>
          <w:sz w:val="22"/>
        </w:rPr>
        <w:t>El handler usa respondJSON para devolver el MatrizResultado al navegador. app.js obtiene evalResp.json() y llama a renderizarResultado(), que presenta nivel, justificación, sugerencia y nota ética para cada área.</w:t>
      </w:r>
    </w:p>
    <w:p>
      <w:pPr>
        <w:pStyle w:val="Heading1"/>
      </w:pPr>
      <w:r>
        <w:t>4. Archivos y funciones clave identificados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tcMar>
              <w:top w:w="90" w:type="dxa"/>
              <w:start w:w="100" w:type="dxa"/>
              <w:bottom w:w="90" w:type="dxa"/>
              <w:end w:w="100" w:type="dxa"/>
            </w:tcMar>
            <w:vAlign w:val="center"/>
          </w:tcPr>
          <w:p>
            <w:pPr>
              <w:jc w:val="center"/>
            </w:pPr>
            <w:r>
              <w:rPr>
                <w:rFonts w:ascii="Arial" w:hAnsi="Arial"/>
                <w:b/>
                <w:color w:val="FFFFFF"/>
                <w:sz w:val="19"/>
              </w:rPr>
              <w:t>Archivo</w:t>
            </w:r>
          </w:p>
        </w:tc>
        <w:tc>
          <w:tcPr>
            <w:tcW w:type="dxa" w:w="3264"/>
            <w:shd w:fill="1F4E79"/>
            <w:tcMar>
              <w:top w:w="90" w:type="dxa"/>
              <w:start w:w="100" w:type="dxa"/>
              <w:bottom w:w="90" w:type="dxa"/>
              <w:end w:w="100" w:type="dxa"/>
            </w:tcMar>
            <w:vAlign w:val="center"/>
          </w:tcPr>
          <w:p>
            <w:pPr>
              <w:jc w:val="center"/>
            </w:pPr>
            <w:r>
              <w:rPr>
                <w:rFonts w:ascii="Arial" w:hAnsi="Arial"/>
                <w:b/>
                <w:color w:val="FFFFFF"/>
                <w:sz w:val="19"/>
              </w:rPr>
              <w:t>Funciones / elementos</w:t>
            </w:r>
          </w:p>
        </w:tc>
        <w:tc>
          <w:tcPr>
            <w:tcW w:type="dxa" w:w="3264"/>
            <w:shd w:fill="1F4E79"/>
            <w:tcMar>
              <w:top w:w="90" w:type="dxa"/>
              <w:start w:w="100" w:type="dxa"/>
              <w:bottom w:w="90" w:type="dxa"/>
              <w:end w:w="100" w:type="dxa"/>
            </w:tcMar>
            <w:vAlign w:val="center"/>
          </w:tcPr>
          <w:p>
            <w:pPr>
              <w:jc w:val="center"/>
            </w:pPr>
            <w:r>
              <w:rPr>
                <w:rFonts w:ascii="Arial" w:hAnsi="Arial"/>
                <w:b/>
                <w:color w:val="FFFFFF"/>
                <w:sz w:val="19"/>
              </w:rPr>
              <w:t>Responsabilidad</w:t>
            </w:r>
          </w:p>
        </w:tc>
      </w:tr>
      <w:tr>
        <w:trPr>
          <w:cantSplit/>
        </w:trPr>
        <w:tc>
          <w:tcPr>
            <w:tcW w:type="dxa" w:w="3264"/>
            <w:tcMar>
              <w:top w:w="90" w:type="dxa"/>
              <w:start w:w="100" w:type="dxa"/>
              <w:bottom w:w="90" w:type="dxa"/>
              <w:end w:w="100" w:type="dxa"/>
            </w:tcMar>
            <w:vAlign w:val="center"/>
          </w:tcPr>
          <w:p>
            <w:r>
              <w:rPr>
                <w:rFonts w:ascii="Arial" w:hAnsi="Arial"/>
                <w:sz w:val="17"/>
              </w:rPr>
              <w:t>cmd/server/main.go</w:t>
            </w:r>
          </w:p>
        </w:tc>
        <w:tc>
          <w:tcPr>
            <w:tcW w:type="dxa" w:w="3264"/>
            <w:tcMar>
              <w:top w:w="90" w:type="dxa"/>
              <w:start w:w="100" w:type="dxa"/>
              <w:bottom w:w="90" w:type="dxa"/>
              <w:end w:w="100" w:type="dxa"/>
            </w:tcMar>
            <w:vAlign w:val="center"/>
          </w:tcPr>
          <w:p>
            <w:r>
              <w:rPr>
                <w:rFonts w:ascii="Arial" w:hAnsi="Arial"/>
                <w:sz w:val="17"/>
              </w:rPr>
              <w:t>main(), run()</w:t>
            </w:r>
          </w:p>
        </w:tc>
        <w:tc>
          <w:tcPr>
            <w:tcW w:type="dxa" w:w="3264"/>
            <w:tcMar>
              <w:top w:w="90" w:type="dxa"/>
              <w:start w:w="100" w:type="dxa"/>
              <w:bottom w:w="90" w:type="dxa"/>
              <w:end w:w="100" w:type="dxa"/>
            </w:tcMar>
            <w:vAlign w:val="center"/>
          </w:tcPr>
          <w:p>
            <w:r>
              <w:rPr>
                <w:rFonts w:ascii="Arial" w:hAnsi="Arial"/>
                <w:sz w:val="17"/>
              </w:rPr>
              <w:t>Carga configuración, inicializa SQLite, cliente Groq, servicio, handler, router y servidor HTTP. También contiene una goroutine para ejecutar ListenAndServe mientras el proceso queda disponible para apagado controlado.</w:t>
            </w:r>
          </w:p>
        </w:tc>
      </w:tr>
      <w:tr>
        <w:trPr>
          <w:cantSplit/>
        </w:trPr>
        <w:tc>
          <w:tcPr>
            <w:tcW w:type="dxa" w:w="3264"/>
            <w:tcMar>
              <w:top w:w="90" w:type="dxa"/>
              <w:start w:w="100" w:type="dxa"/>
              <w:bottom w:w="90" w:type="dxa"/>
              <w:end w:w="100" w:type="dxa"/>
            </w:tcMar>
            <w:shd w:fill="F6F8FA"/>
            <w:vAlign w:val="center"/>
          </w:tcPr>
          <w:p>
            <w:r>
              <w:rPr>
                <w:rFonts w:ascii="Arial" w:hAnsi="Arial"/>
                <w:sz w:val="17"/>
              </w:rPr>
              <w:t>cmd/server/web/app.js</w:t>
            </w:r>
          </w:p>
        </w:tc>
        <w:tc>
          <w:tcPr>
            <w:tcW w:type="dxa" w:w="3264"/>
            <w:tcMar>
              <w:top w:w="90" w:type="dxa"/>
              <w:start w:w="100" w:type="dxa"/>
              <w:bottom w:w="90" w:type="dxa"/>
              <w:end w:w="100" w:type="dxa"/>
            </w:tcMar>
            <w:shd w:fill="F6F8FA"/>
            <w:vAlign w:val="center"/>
          </w:tcPr>
          <w:p>
            <w:r>
              <w:rPr>
                <w:rFonts w:ascii="Arial" w:hAnsi="Arial"/>
                <w:sz w:val="17"/>
              </w:rPr>
              <w:t>submit listener, renderizarResultado()</w:t>
            </w:r>
          </w:p>
        </w:tc>
        <w:tc>
          <w:tcPr>
            <w:tcW w:type="dxa" w:w="3264"/>
            <w:tcMar>
              <w:top w:w="90" w:type="dxa"/>
              <w:start w:w="100" w:type="dxa"/>
              <w:bottom w:w="90" w:type="dxa"/>
              <w:end w:w="100" w:type="dxa"/>
            </w:tcMar>
            <w:shd w:fill="F6F8FA"/>
            <w:vAlign w:val="center"/>
          </w:tcPr>
          <w:p>
            <w:r>
              <w:rPr>
                <w:rFonts w:ascii="Arial" w:hAnsi="Arial"/>
                <w:sz w:val="17"/>
              </w:rPr>
              <w:t>Captura el formulario, ejecuta fetch, recibe JSON y actualiza la interfaz.</w:t>
            </w:r>
          </w:p>
        </w:tc>
      </w:tr>
      <w:tr>
        <w:trPr>
          <w:cantSplit/>
        </w:trPr>
        <w:tc>
          <w:tcPr>
            <w:tcW w:type="dxa" w:w="3264"/>
            <w:tcMar>
              <w:top w:w="90" w:type="dxa"/>
              <w:start w:w="100" w:type="dxa"/>
              <w:bottom w:w="90" w:type="dxa"/>
              <w:end w:w="100" w:type="dxa"/>
            </w:tcMar>
            <w:vAlign w:val="center"/>
          </w:tcPr>
          <w:p>
            <w:r>
              <w:rPr>
                <w:rFonts w:ascii="Arial" w:hAnsi="Arial"/>
                <w:sz w:val="17"/>
              </w:rPr>
              <w:t>internal/api/router.go</w:t>
            </w:r>
          </w:p>
        </w:tc>
        <w:tc>
          <w:tcPr>
            <w:tcW w:type="dxa" w:w="3264"/>
            <w:tcMar>
              <w:top w:w="90" w:type="dxa"/>
              <w:start w:w="100" w:type="dxa"/>
              <w:bottom w:w="90" w:type="dxa"/>
              <w:end w:w="100" w:type="dxa"/>
            </w:tcMar>
            <w:vAlign w:val="center"/>
          </w:tcPr>
          <w:p>
            <w:r>
              <w:rPr>
                <w:rFonts w:ascii="Arial" w:hAnsi="Arial"/>
                <w:sz w:val="17"/>
              </w:rPr>
              <w:t>NewRouter(), withCORS()</w:t>
            </w:r>
          </w:p>
        </w:tc>
        <w:tc>
          <w:tcPr>
            <w:tcW w:type="dxa" w:w="3264"/>
            <w:tcMar>
              <w:top w:w="90" w:type="dxa"/>
              <w:start w:w="100" w:type="dxa"/>
              <w:bottom w:w="90" w:type="dxa"/>
              <w:end w:w="100" w:type="dxa"/>
            </w:tcMar>
            <w:vAlign w:val="center"/>
          </w:tcPr>
          <w:p>
            <w:r>
              <w:rPr>
                <w:rFonts w:ascii="Arial" w:hAnsi="Arial"/>
                <w:sz w:val="17"/>
              </w:rPr>
              <w:t>Registra endpoints y middleware CORS; conecta las rutas con los handlers.</w:t>
            </w:r>
          </w:p>
        </w:tc>
      </w:tr>
      <w:tr>
        <w:trPr>
          <w:cantSplit/>
        </w:trPr>
        <w:tc>
          <w:tcPr>
            <w:tcW w:type="dxa" w:w="3264"/>
            <w:tcMar>
              <w:top w:w="90" w:type="dxa"/>
              <w:start w:w="100" w:type="dxa"/>
              <w:bottom w:w="90" w:type="dxa"/>
              <w:end w:w="100" w:type="dxa"/>
            </w:tcMar>
            <w:shd w:fill="F6F8FA"/>
            <w:vAlign w:val="center"/>
          </w:tcPr>
          <w:p>
            <w:r>
              <w:rPr>
                <w:rFonts w:ascii="Arial" w:hAnsi="Arial"/>
                <w:sz w:val="17"/>
              </w:rPr>
              <w:t>internal/api/handlers.go</w:t>
            </w:r>
          </w:p>
        </w:tc>
        <w:tc>
          <w:tcPr>
            <w:tcW w:type="dxa" w:w="3264"/>
            <w:tcMar>
              <w:top w:w="90" w:type="dxa"/>
              <w:start w:w="100" w:type="dxa"/>
              <w:bottom w:w="90" w:type="dxa"/>
              <w:end w:w="100" w:type="dxa"/>
            </w:tcMar>
            <w:shd w:fill="F6F8FA"/>
            <w:vAlign w:val="center"/>
          </w:tcPr>
          <w:p>
            <w:r>
              <w:rPr>
                <w:rFonts w:ascii="Arial" w:hAnsi="Arial"/>
                <w:sz w:val="17"/>
              </w:rPr>
              <w:t>CrearDocente(), EvaluarActividad(), respondJSON()</w:t>
            </w:r>
          </w:p>
        </w:tc>
        <w:tc>
          <w:tcPr>
            <w:tcW w:type="dxa" w:w="3264"/>
            <w:tcMar>
              <w:top w:w="90" w:type="dxa"/>
              <w:start w:w="100" w:type="dxa"/>
              <w:bottom w:w="90" w:type="dxa"/>
              <w:end w:w="100" w:type="dxa"/>
            </w:tcMar>
            <w:shd w:fill="F6F8FA"/>
            <w:vAlign w:val="center"/>
          </w:tcPr>
          <w:p>
            <w:r>
              <w:rPr>
                <w:rFonts w:ascii="Arial" w:hAnsi="Arial"/>
                <w:sz w:val="17"/>
              </w:rPr>
              <w:t>Valida solicitudes HTTP, llama a la lógica de negocio y forma las respuestas JSON.</w:t>
            </w:r>
          </w:p>
        </w:tc>
      </w:tr>
      <w:tr>
        <w:trPr>
          <w:cantSplit/>
        </w:trPr>
        <w:tc>
          <w:tcPr>
            <w:tcW w:type="dxa" w:w="3264"/>
            <w:tcMar>
              <w:top w:w="90" w:type="dxa"/>
              <w:start w:w="100" w:type="dxa"/>
              <w:bottom w:w="90" w:type="dxa"/>
              <w:end w:w="100" w:type="dxa"/>
            </w:tcMar>
            <w:vAlign w:val="center"/>
          </w:tcPr>
          <w:p>
            <w:r>
              <w:rPr>
                <w:rFonts w:ascii="Arial" w:hAnsi="Arial"/>
                <w:sz w:val="17"/>
              </w:rPr>
              <w:t>internal/evaluator/service.go</w:t>
            </w:r>
          </w:p>
        </w:tc>
        <w:tc>
          <w:tcPr>
            <w:tcW w:type="dxa" w:w="3264"/>
            <w:tcMar>
              <w:top w:w="90" w:type="dxa"/>
              <w:start w:w="100" w:type="dxa"/>
              <w:bottom w:w="90" w:type="dxa"/>
              <w:end w:w="100" w:type="dxa"/>
            </w:tcMar>
            <w:vAlign w:val="center"/>
          </w:tcPr>
          <w:p>
            <w:r>
              <w:rPr>
                <w:rFonts w:ascii="Arial" w:hAnsi="Arial"/>
                <w:sz w:val="17"/>
              </w:rPr>
              <w:t>NewService(), EvaluarActividad()</w:t>
            </w:r>
          </w:p>
        </w:tc>
        <w:tc>
          <w:tcPr>
            <w:tcW w:type="dxa" w:w="3264"/>
            <w:tcMar>
              <w:top w:w="90" w:type="dxa"/>
              <w:start w:w="100" w:type="dxa"/>
              <w:bottom w:w="90" w:type="dxa"/>
              <w:end w:w="100" w:type="dxa"/>
            </w:tcMar>
            <w:vAlign w:val="center"/>
          </w:tcPr>
          <w:p>
            <w:r>
              <w:rPr>
                <w:rFonts w:ascii="Arial" w:hAnsi="Arial"/>
                <w:sz w:val="17"/>
              </w:rPr>
              <w:t>Orquesta la evaluación: prompt → LLM → parser → persistencia.</w:t>
            </w:r>
          </w:p>
        </w:tc>
      </w:tr>
      <w:tr>
        <w:trPr>
          <w:cantSplit/>
        </w:trPr>
        <w:tc>
          <w:tcPr>
            <w:tcW w:type="dxa" w:w="3264"/>
            <w:tcMar>
              <w:top w:w="90" w:type="dxa"/>
              <w:start w:w="100" w:type="dxa"/>
              <w:bottom w:w="90" w:type="dxa"/>
              <w:end w:w="100" w:type="dxa"/>
            </w:tcMar>
            <w:shd w:fill="F6F8FA"/>
            <w:vAlign w:val="center"/>
          </w:tcPr>
          <w:p>
            <w:r>
              <w:rPr>
                <w:rFonts w:ascii="Arial" w:hAnsi="Arial"/>
                <w:sz w:val="17"/>
              </w:rPr>
              <w:t>internal/llm/prompt.go</w:t>
            </w:r>
          </w:p>
        </w:tc>
        <w:tc>
          <w:tcPr>
            <w:tcW w:type="dxa" w:w="3264"/>
            <w:tcMar>
              <w:top w:w="90" w:type="dxa"/>
              <w:start w:w="100" w:type="dxa"/>
              <w:bottom w:w="90" w:type="dxa"/>
              <w:end w:w="100" w:type="dxa"/>
            </w:tcMar>
            <w:shd w:fill="F6F8FA"/>
            <w:vAlign w:val="center"/>
          </w:tcPr>
          <w:p>
            <w:r>
              <w:rPr>
                <w:rFonts w:ascii="Arial" w:hAnsi="Arial"/>
                <w:sz w:val="17"/>
              </w:rPr>
              <w:t>ConstruirPrompt()</w:t>
            </w:r>
          </w:p>
        </w:tc>
        <w:tc>
          <w:tcPr>
            <w:tcW w:type="dxa" w:w="3264"/>
            <w:tcMar>
              <w:top w:w="90" w:type="dxa"/>
              <w:start w:w="100" w:type="dxa"/>
              <w:bottom w:w="90" w:type="dxa"/>
              <w:end w:w="100" w:type="dxa"/>
            </w:tcMar>
            <w:shd w:fill="F6F8FA"/>
            <w:vAlign w:val="center"/>
          </w:tcPr>
          <w:p>
            <w:r>
              <w:rPr>
                <w:rFonts w:ascii="Arial" w:hAnsi="Arial"/>
                <w:sz w:val="17"/>
              </w:rPr>
              <w:t>Genera la instrucción que se envía al modelo.</w:t>
            </w:r>
          </w:p>
        </w:tc>
      </w:tr>
      <w:tr>
        <w:trPr>
          <w:cantSplit/>
        </w:trPr>
        <w:tc>
          <w:tcPr>
            <w:tcW w:type="dxa" w:w="3264"/>
            <w:tcMar>
              <w:top w:w="90" w:type="dxa"/>
              <w:start w:w="100" w:type="dxa"/>
              <w:bottom w:w="90" w:type="dxa"/>
              <w:end w:w="100" w:type="dxa"/>
            </w:tcMar>
            <w:vAlign w:val="center"/>
          </w:tcPr>
          <w:p>
            <w:r>
              <w:rPr>
                <w:rFonts w:ascii="Arial" w:hAnsi="Arial"/>
                <w:sz w:val="17"/>
              </w:rPr>
              <w:t>internal/llm/groq_client.go</w:t>
            </w:r>
          </w:p>
        </w:tc>
        <w:tc>
          <w:tcPr>
            <w:tcW w:type="dxa" w:w="3264"/>
            <w:tcMar>
              <w:top w:w="90" w:type="dxa"/>
              <w:start w:w="100" w:type="dxa"/>
              <w:bottom w:w="90" w:type="dxa"/>
              <w:end w:w="100" w:type="dxa"/>
            </w:tcMar>
            <w:vAlign w:val="center"/>
          </w:tcPr>
          <w:p>
            <w:r>
              <w:rPr>
                <w:rFonts w:ascii="Arial" w:hAnsi="Arial"/>
                <w:sz w:val="17"/>
              </w:rPr>
              <w:t>NewGroqClient(), Analizar()</w:t>
            </w:r>
          </w:p>
        </w:tc>
        <w:tc>
          <w:tcPr>
            <w:tcW w:type="dxa" w:w="3264"/>
            <w:tcMar>
              <w:top w:w="90" w:type="dxa"/>
              <w:start w:w="100" w:type="dxa"/>
              <w:bottom w:w="90" w:type="dxa"/>
              <w:end w:w="100" w:type="dxa"/>
            </w:tcMar>
            <w:vAlign w:val="center"/>
          </w:tcPr>
          <w:p>
            <w:r>
              <w:rPr>
                <w:rFonts w:ascii="Arial" w:hAnsi="Arial"/>
                <w:sz w:val="17"/>
              </w:rPr>
              <w:t>Implementa el acceso HTTP a Groq y devuelve el texto del modelo.</w:t>
            </w:r>
          </w:p>
        </w:tc>
      </w:tr>
      <w:tr>
        <w:trPr>
          <w:cantSplit/>
        </w:trPr>
        <w:tc>
          <w:tcPr>
            <w:tcW w:type="dxa" w:w="3264"/>
            <w:tcMar>
              <w:top w:w="90" w:type="dxa"/>
              <w:start w:w="100" w:type="dxa"/>
              <w:bottom w:w="90" w:type="dxa"/>
              <w:end w:w="100" w:type="dxa"/>
            </w:tcMar>
            <w:shd w:fill="F6F8FA"/>
            <w:vAlign w:val="center"/>
          </w:tcPr>
          <w:p>
            <w:r>
              <w:rPr>
                <w:rFonts w:ascii="Arial" w:hAnsi="Arial"/>
                <w:sz w:val="17"/>
              </w:rPr>
              <w:t>internal/evaluator/parser.go</w:t>
            </w:r>
          </w:p>
        </w:tc>
        <w:tc>
          <w:tcPr>
            <w:tcW w:type="dxa" w:w="3264"/>
            <w:tcMar>
              <w:top w:w="90" w:type="dxa"/>
              <w:start w:w="100" w:type="dxa"/>
              <w:bottom w:w="90" w:type="dxa"/>
              <w:end w:w="100" w:type="dxa"/>
            </w:tcMar>
            <w:shd w:fill="F6F8FA"/>
            <w:vAlign w:val="center"/>
          </w:tcPr>
          <w:p>
            <w:r>
              <w:rPr>
                <w:rFonts w:ascii="Arial" w:hAnsi="Arial"/>
                <w:sz w:val="17"/>
              </w:rPr>
              <w:t>parsearRespuestaLLM(), normalizarArea()</w:t>
            </w:r>
          </w:p>
        </w:tc>
        <w:tc>
          <w:tcPr>
            <w:tcW w:type="dxa" w:w="3264"/>
            <w:tcMar>
              <w:top w:w="90" w:type="dxa"/>
              <w:start w:w="100" w:type="dxa"/>
              <w:bottom w:w="90" w:type="dxa"/>
              <w:end w:w="100" w:type="dxa"/>
            </w:tcMar>
            <w:shd w:fill="F6F8FA"/>
            <w:vAlign w:val="center"/>
          </w:tcPr>
          <w:p>
            <w:r>
              <w:rPr>
                <w:rFonts w:ascii="Arial" w:hAnsi="Arial"/>
                <w:sz w:val="17"/>
              </w:rPr>
              <w:t>Extrae y valida el JSON producido por el LLM.</w:t>
            </w:r>
          </w:p>
        </w:tc>
      </w:tr>
      <w:tr>
        <w:trPr>
          <w:cantSplit/>
        </w:trPr>
        <w:tc>
          <w:tcPr>
            <w:tcW w:type="dxa" w:w="3264"/>
            <w:tcMar>
              <w:top w:w="90" w:type="dxa"/>
              <w:start w:w="100" w:type="dxa"/>
              <w:bottom w:w="90" w:type="dxa"/>
              <w:end w:w="100" w:type="dxa"/>
            </w:tcMar>
            <w:vAlign w:val="center"/>
          </w:tcPr>
          <w:p>
            <w:r>
              <w:rPr>
                <w:rFonts w:ascii="Arial" w:hAnsi="Arial"/>
                <w:sz w:val="17"/>
              </w:rPr>
              <w:t>internal/storage/sqlite.go</w:t>
            </w:r>
          </w:p>
        </w:tc>
        <w:tc>
          <w:tcPr>
            <w:tcW w:type="dxa" w:w="3264"/>
            <w:tcMar>
              <w:top w:w="90" w:type="dxa"/>
              <w:start w:w="100" w:type="dxa"/>
              <w:bottom w:w="90" w:type="dxa"/>
              <w:end w:w="100" w:type="dxa"/>
            </w:tcMar>
            <w:vAlign w:val="center"/>
          </w:tcPr>
          <w:p>
            <w:r>
              <w:rPr>
                <w:rFonts w:ascii="Arial" w:hAnsi="Arial"/>
                <w:sz w:val="17"/>
              </w:rPr>
              <w:t>NewSQLiteRepository(), CrearDocente(), Guardar()</w:t>
            </w:r>
          </w:p>
        </w:tc>
        <w:tc>
          <w:tcPr>
            <w:tcW w:type="dxa" w:w="3264"/>
            <w:tcMar>
              <w:top w:w="90" w:type="dxa"/>
              <w:start w:w="100" w:type="dxa"/>
              <w:bottom w:w="90" w:type="dxa"/>
              <w:end w:w="100" w:type="dxa"/>
            </w:tcMar>
            <w:vAlign w:val="center"/>
          </w:tcPr>
          <w:p>
            <w:r>
              <w:rPr>
                <w:rFonts w:ascii="Arial" w:hAnsi="Arial"/>
                <w:sz w:val="17"/>
              </w:rPr>
              <w:t>Abre SQLite, crea el esquema y persiste docentes/evaluaciones.</w:t>
            </w:r>
          </w:p>
        </w:tc>
      </w:tr>
      <w:tr>
        <w:trPr>
          <w:cantSplit/>
        </w:trPr>
        <w:tc>
          <w:tcPr>
            <w:tcW w:type="dxa" w:w="3264"/>
            <w:tcMar>
              <w:top w:w="90" w:type="dxa"/>
              <w:start w:w="100" w:type="dxa"/>
              <w:bottom w:w="90" w:type="dxa"/>
              <w:end w:w="100" w:type="dxa"/>
            </w:tcMar>
            <w:shd w:fill="F6F8FA"/>
            <w:vAlign w:val="center"/>
          </w:tcPr>
          <w:p>
            <w:r>
              <w:rPr>
                <w:rFonts w:ascii="Arial" w:hAnsi="Arial"/>
                <w:sz w:val="17"/>
              </w:rPr>
              <w:t>internal/storage/repository.go</w:t>
            </w:r>
          </w:p>
        </w:tc>
        <w:tc>
          <w:tcPr>
            <w:tcW w:type="dxa" w:w="3264"/>
            <w:tcMar>
              <w:top w:w="90" w:type="dxa"/>
              <w:start w:w="100" w:type="dxa"/>
              <w:bottom w:w="90" w:type="dxa"/>
              <w:end w:w="100" w:type="dxa"/>
            </w:tcMar>
            <w:shd w:fill="F6F8FA"/>
            <w:vAlign w:val="center"/>
          </w:tcPr>
          <w:p>
            <w:r>
              <w:rPr>
                <w:rFonts w:ascii="Arial" w:hAnsi="Arial"/>
                <w:sz w:val="17"/>
              </w:rPr>
              <w:t>Repository interface</w:t>
            </w:r>
          </w:p>
        </w:tc>
        <w:tc>
          <w:tcPr>
            <w:tcW w:type="dxa" w:w="3264"/>
            <w:tcMar>
              <w:top w:w="90" w:type="dxa"/>
              <w:start w:w="100" w:type="dxa"/>
              <w:bottom w:w="90" w:type="dxa"/>
              <w:end w:w="100" w:type="dxa"/>
            </w:tcMar>
            <w:shd w:fill="F6F8FA"/>
            <w:vAlign w:val="center"/>
          </w:tcPr>
          <w:p>
            <w:r>
              <w:rPr>
                <w:rFonts w:ascii="Arial" w:hAnsi="Arial"/>
                <w:sz w:val="17"/>
              </w:rPr>
              <w:t>Define el contrato de persistencia usado por el servicio y handlers.</w:t>
            </w:r>
          </w:p>
        </w:tc>
      </w:tr>
    </w:tbl>
    <w:p>
      <w:pPr>
        <w:pStyle w:val="Heading1"/>
      </w:pPr>
      <w:r>
        <w:t>5. Cuestionario de librerías, paquetes y conceptos</w:t>
      </w:r>
    </w:p>
    <w:p>
      <w:pPr>
        <w:spacing w:after="120" w:line="276" w:lineRule="auto"/>
        <w:jc w:val="both"/>
      </w:pPr>
      <w:r>
        <w:rPr>
          <w:rFonts w:ascii="Arial" w:hAnsi="Arial"/>
          <w:sz w:val="22"/>
        </w:rPr>
        <w:t>La columna “Propósito aquí” distingue entre elementos realmente presentes en esta versión del proyecto y elementos que aparecen en el cuestionario pero no son importados por el código entregado.</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tcMar>
              <w:top w:w="90" w:type="dxa"/>
              <w:start w:w="100" w:type="dxa"/>
              <w:bottom w:w="90" w:type="dxa"/>
              <w:end w:w="100" w:type="dxa"/>
            </w:tcMar>
            <w:vAlign w:val="center"/>
          </w:tcPr>
          <w:p>
            <w:pPr>
              <w:jc w:val="center"/>
            </w:pPr>
            <w:r>
              <w:rPr>
                <w:rFonts w:ascii="Arial" w:hAnsi="Arial"/>
                <w:b/>
                <w:color w:val="FFFFFF"/>
                <w:sz w:val="18"/>
              </w:rPr>
              <w:t>Librería / paquete / concepto</w:t>
            </w:r>
          </w:p>
        </w:tc>
        <w:tc>
          <w:tcPr>
            <w:tcW w:type="dxa" w:w="2448"/>
            <w:shd w:fill="1F4E79"/>
            <w:tcMar>
              <w:top w:w="90" w:type="dxa"/>
              <w:start w:w="100" w:type="dxa"/>
              <w:bottom w:w="90" w:type="dxa"/>
              <w:end w:w="100" w:type="dxa"/>
            </w:tcMar>
            <w:vAlign w:val="center"/>
          </w:tcPr>
          <w:p>
            <w:pPr>
              <w:jc w:val="center"/>
            </w:pPr>
            <w:r>
              <w:rPr>
                <w:rFonts w:ascii="Arial" w:hAnsi="Arial"/>
                <w:b/>
                <w:color w:val="FFFFFF"/>
                <w:sz w:val="18"/>
              </w:rPr>
              <w:t>¿Visto en clase?</w:t>
            </w:r>
          </w:p>
        </w:tc>
        <w:tc>
          <w:tcPr>
            <w:tcW w:type="dxa" w:w="2448"/>
            <w:shd w:fill="1F4E79"/>
            <w:tcMar>
              <w:top w:w="90" w:type="dxa"/>
              <w:start w:w="100" w:type="dxa"/>
              <w:bottom w:w="90" w:type="dxa"/>
              <w:end w:w="100" w:type="dxa"/>
            </w:tcMar>
            <w:vAlign w:val="center"/>
          </w:tcPr>
          <w:p>
            <w:pPr>
              <w:jc w:val="center"/>
            </w:pPr>
            <w:r>
              <w:rPr>
                <w:rFonts w:ascii="Arial" w:hAnsi="Arial"/>
                <w:b/>
                <w:color w:val="FFFFFF"/>
                <w:sz w:val="18"/>
              </w:rPr>
              <w:t>¿Cuál es su propósito aquí?</w:t>
            </w:r>
          </w:p>
        </w:tc>
        <w:tc>
          <w:tcPr>
            <w:tcW w:type="dxa" w:w="2448"/>
            <w:shd w:fill="1F4E79"/>
            <w:tcMar>
              <w:top w:w="90" w:type="dxa"/>
              <w:start w:w="100" w:type="dxa"/>
              <w:bottom w:w="90" w:type="dxa"/>
              <w:end w:w="100" w:type="dxa"/>
            </w:tcMar>
            <w:vAlign w:val="center"/>
          </w:tcPr>
          <w:p>
            <w:pPr>
              <w:jc w:val="center"/>
            </w:pPr>
            <w:r>
              <w:rPr>
                <w:rFonts w:ascii="Arial" w:hAnsi="Arial"/>
                <w:b/>
                <w:color w:val="FFFFFF"/>
                <w:sz w:val="18"/>
              </w:rPr>
              <w:t>Confianza (1-5)</w:t>
            </w:r>
          </w:p>
        </w:tc>
      </w:tr>
      <w:tr>
        <w:trPr>
          <w:cantSplit/>
        </w:trPr>
        <w:tc>
          <w:tcPr>
            <w:tcW w:type="dxa" w:w="2448"/>
            <w:tcMar>
              <w:top w:w="90" w:type="dxa"/>
              <w:start w:w="100" w:type="dxa"/>
              <w:bottom w:w="90" w:type="dxa"/>
              <w:end w:w="100" w:type="dxa"/>
            </w:tcMar>
            <w:vAlign w:val="center"/>
          </w:tcPr>
          <w:p>
            <w:r>
              <w:rPr>
                <w:rFonts w:ascii="Arial" w:hAnsi="Arial"/>
                <w:sz w:val="16"/>
              </w:rPr>
              <w:t>net/http</w:t>
            </w:r>
          </w:p>
        </w:tc>
        <w:tc>
          <w:tcPr>
            <w:tcW w:type="dxa" w:w="2448"/>
            <w:tcMar>
              <w:top w:w="90" w:type="dxa"/>
              <w:start w:w="100" w:type="dxa"/>
              <w:bottom w:w="90" w:type="dxa"/>
              <w:end w:w="100" w:type="dxa"/>
            </w:tcMar>
            <w:vAlign w:val="center"/>
          </w:tcPr>
          <w:p>
            <w:pPr>
              <w:jc w:val="center"/>
            </w:pPr>
            <w:r>
              <w:rPr>
                <w:rFonts w:ascii="Arial" w:hAnsi="Arial"/>
                <w:sz w:val="16"/>
              </w:rPr>
              <w:t>Sí</w:t>
            </w:r>
          </w:p>
        </w:tc>
        <w:tc>
          <w:tcPr>
            <w:tcW w:type="dxa" w:w="2448"/>
            <w:tcMar>
              <w:top w:w="90" w:type="dxa"/>
              <w:start w:w="100" w:type="dxa"/>
              <w:bottom w:w="90" w:type="dxa"/>
              <w:end w:w="100" w:type="dxa"/>
            </w:tcMar>
            <w:vAlign w:val="center"/>
          </w:tcPr>
          <w:p>
            <w:r>
              <w:rPr>
                <w:rFonts w:ascii="Arial" w:hAnsi="Arial"/>
                <w:sz w:val="16"/>
              </w:rPr>
              <w:t>Servidor HTTP, rutas, Request/Response y llamadas HTTP al proveedor LLM.</w:t>
            </w:r>
          </w:p>
        </w:tc>
        <w:tc>
          <w:tcPr>
            <w:tcW w:type="dxa" w:w="2448"/>
            <w:tcMar>
              <w:top w:w="90" w:type="dxa"/>
              <w:start w:w="100" w:type="dxa"/>
              <w:bottom w:w="90" w:type="dxa"/>
              <w:end w:w="100" w:type="dxa"/>
            </w:tcMar>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shd w:fill="F6F8FA"/>
            <w:vAlign w:val="center"/>
          </w:tcPr>
          <w:p>
            <w:r>
              <w:rPr>
                <w:rFonts w:ascii="Arial" w:hAnsi="Arial"/>
                <w:sz w:val="16"/>
              </w:rPr>
              <w:t>html/template</w:t>
            </w:r>
          </w:p>
        </w:tc>
        <w:tc>
          <w:tcPr>
            <w:tcW w:type="dxa" w:w="2448"/>
            <w:tcMar>
              <w:top w:w="90" w:type="dxa"/>
              <w:start w:w="100" w:type="dxa"/>
              <w:bottom w:w="90" w:type="dxa"/>
              <w:end w:w="100" w:type="dxa"/>
            </w:tcMar>
            <w:shd w:fill="F6F8FA"/>
            <w:vAlign w:val="center"/>
          </w:tcPr>
          <w:p>
            <w:pPr>
              <w:jc w:val="center"/>
            </w:pPr>
            <w:r>
              <w:rPr>
                <w:rFonts w:ascii="Arial" w:hAnsi="Arial"/>
                <w:sz w:val="16"/>
              </w:rPr>
              <w:t>Sí</w:t>
            </w:r>
          </w:p>
        </w:tc>
        <w:tc>
          <w:tcPr>
            <w:tcW w:type="dxa" w:w="2448"/>
            <w:tcMar>
              <w:top w:w="90" w:type="dxa"/>
              <w:start w:w="100" w:type="dxa"/>
              <w:bottom w:w="90" w:type="dxa"/>
              <w:end w:w="100" w:type="dxa"/>
            </w:tcMar>
            <w:shd w:fill="F6F8FA"/>
            <w:vAlign w:val="center"/>
          </w:tcPr>
          <w:p>
            <w:r>
              <w:rPr>
                <w:rFonts w:ascii="Arial" w:hAnsi="Arial"/>
                <w:sz w:val="16"/>
              </w:rPr>
              <w:t>No se importa en esta versión. El frontend se sirve como archivos estáticos embebidos; normalmente html/template se usaría para renderizar HTML dinámico en el servidor.</w:t>
            </w:r>
          </w:p>
        </w:tc>
        <w:tc>
          <w:tcPr>
            <w:tcW w:type="dxa" w:w="2448"/>
            <w:tcMar>
              <w:top w:w="90" w:type="dxa"/>
              <w:start w:w="100" w:type="dxa"/>
              <w:bottom w:w="90" w:type="dxa"/>
              <w:end w:w="100" w:type="dxa"/>
            </w:tcMar>
            <w:shd w:fill="F6F8FA"/>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vAlign w:val="center"/>
          </w:tcPr>
          <w:p>
            <w:r>
              <w:rPr>
                <w:rFonts w:ascii="Arial" w:hAnsi="Arial"/>
                <w:sz w:val="16"/>
              </w:rPr>
              <w:t>database/sql</w:t>
            </w:r>
          </w:p>
        </w:tc>
        <w:tc>
          <w:tcPr>
            <w:tcW w:type="dxa" w:w="2448"/>
            <w:tcMar>
              <w:top w:w="90" w:type="dxa"/>
              <w:start w:w="100" w:type="dxa"/>
              <w:bottom w:w="90" w:type="dxa"/>
              <w:end w:w="100" w:type="dxa"/>
            </w:tcMar>
            <w:vAlign w:val="center"/>
          </w:tcPr>
          <w:p>
            <w:pPr>
              <w:jc w:val="center"/>
            </w:pPr>
            <w:r>
              <w:rPr>
                <w:rFonts w:ascii="Arial" w:hAnsi="Arial"/>
                <w:sz w:val="16"/>
              </w:rPr>
              <w:t>Sí</w:t>
            </w:r>
          </w:p>
        </w:tc>
        <w:tc>
          <w:tcPr>
            <w:tcW w:type="dxa" w:w="2448"/>
            <w:tcMar>
              <w:top w:w="90" w:type="dxa"/>
              <w:start w:w="100" w:type="dxa"/>
              <w:bottom w:w="90" w:type="dxa"/>
              <w:end w:w="100" w:type="dxa"/>
            </w:tcMar>
            <w:vAlign w:val="center"/>
          </w:tcPr>
          <w:p>
            <w:r>
              <w:rPr>
                <w:rFonts w:ascii="Arial" w:hAnsi="Arial"/>
                <w:sz w:val="16"/>
              </w:rPr>
              <w:t>Abre y opera la base SQLite mediante *sql.DB, transacciones, ExecContext y QueryContext.</w:t>
            </w:r>
          </w:p>
        </w:tc>
        <w:tc>
          <w:tcPr>
            <w:tcW w:type="dxa" w:w="2448"/>
            <w:tcMar>
              <w:top w:w="90" w:type="dxa"/>
              <w:start w:w="100" w:type="dxa"/>
              <w:bottom w:w="90" w:type="dxa"/>
              <w:end w:w="100" w:type="dxa"/>
            </w:tcMar>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shd w:fill="F6F8FA"/>
            <w:vAlign w:val="center"/>
          </w:tcPr>
          <w:p>
            <w:r>
              <w:rPr>
                <w:rFonts w:ascii="Arial" w:hAnsi="Arial"/>
                <w:sz w:val="16"/>
              </w:rPr>
              <w:t>context</w:t>
            </w:r>
          </w:p>
        </w:tc>
        <w:tc>
          <w:tcPr>
            <w:tcW w:type="dxa" w:w="2448"/>
            <w:tcMar>
              <w:top w:w="90" w:type="dxa"/>
              <w:start w:w="100" w:type="dxa"/>
              <w:bottom w:w="90" w:type="dxa"/>
              <w:end w:w="100" w:type="dxa"/>
            </w:tcMar>
            <w:shd w:fill="F6F8FA"/>
            <w:vAlign w:val="center"/>
          </w:tcPr>
          <w:p>
            <w:pPr>
              <w:jc w:val="center"/>
            </w:pPr>
            <w:r>
              <w:rPr>
                <w:rFonts w:ascii="Arial" w:hAnsi="Arial"/>
                <w:sz w:val="16"/>
              </w:rPr>
              <w:t>Probablemente</w:t>
            </w:r>
          </w:p>
        </w:tc>
        <w:tc>
          <w:tcPr>
            <w:tcW w:type="dxa" w:w="2448"/>
            <w:tcMar>
              <w:top w:w="90" w:type="dxa"/>
              <w:start w:w="100" w:type="dxa"/>
              <w:bottom w:w="90" w:type="dxa"/>
              <w:end w:w="100" w:type="dxa"/>
            </w:tcMar>
            <w:shd w:fill="F6F8FA"/>
            <w:vAlign w:val="center"/>
          </w:tcPr>
          <w:p>
            <w:r>
              <w:rPr>
                <w:rFonts w:ascii="Arial" w:hAnsi="Arial"/>
                <w:sz w:val="16"/>
              </w:rPr>
              <w:t>Transporta cancelación y tiempo de vida de la petición desde HTTP hacia servicio, LLM y repositorio; también se usa en el apagado controlado del servidor.</w:t>
            </w:r>
          </w:p>
        </w:tc>
        <w:tc>
          <w:tcPr>
            <w:tcW w:type="dxa" w:w="2448"/>
            <w:tcMar>
              <w:top w:w="90" w:type="dxa"/>
              <w:start w:w="100" w:type="dxa"/>
              <w:bottom w:w="90" w:type="dxa"/>
              <w:end w:w="100" w:type="dxa"/>
            </w:tcMar>
            <w:shd w:fill="F6F8FA"/>
            <w:vAlign w:val="center"/>
          </w:tcPr>
          <w:p>
            <w:pPr>
              <w:jc w:val="center"/>
            </w:pPr>
            <w:r>
              <w:rPr>
                <w:rFonts w:ascii="Arial" w:hAnsi="Arial"/>
                <w:sz w:val="16"/>
              </w:rPr>
              <w:t>4</w:t>
            </w:r>
          </w:p>
        </w:tc>
      </w:tr>
      <w:tr>
        <w:trPr>
          <w:cantSplit/>
        </w:trPr>
        <w:tc>
          <w:tcPr>
            <w:tcW w:type="dxa" w:w="2448"/>
            <w:tcMar>
              <w:top w:w="90" w:type="dxa"/>
              <w:start w:w="100" w:type="dxa"/>
              <w:bottom w:w="90" w:type="dxa"/>
              <w:end w:w="100" w:type="dxa"/>
            </w:tcMar>
            <w:vAlign w:val="center"/>
          </w:tcPr>
          <w:p>
            <w:r>
              <w:rPr>
                <w:rFonts w:ascii="Arial" w:hAnsi="Arial"/>
                <w:sz w:val="16"/>
              </w:rPr>
              <w:t>encoding/json</w:t>
            </w:r>
          </w:p>
        </w:tc>
        <w:tc>
          <w:tcPr>
            <w:tcW w:type="dxa" w:w="2448"/>
            <w:tcMar>
              <w:top w:w="90" w:type="dxa"/>
              <w:start w:w="100" w:type="dxa"/>
              <w:bottom w:w="90" w:type="dxa"/>
              <w:end w:w="100" w:type="dxa"/>
            </w:tcMar>
            <w:vAlign w:val="center"/>
          </w:tcPr>
          <w:p>
            <w:pPr>
              <w:jc w:val="center"/>
            </w:pPr>
            <w:r>
              <w:rPr>
                <w:rFonts w:ascii="Arial" w:hAnsi="Arial"/>
                <w:sz w:val="16"/>
              </w:rPr>
              <w:t>Sí</w:t>
            </w:r>
          </w:p>
        </w:tc>
        <w:tc>
          <w:tcPr>
            <w:tcW w:type="dxa" w:w="2448"/>
            <w:tcMar>
              <w:top w:w="90" w:type="dxa"/>
              <w:start w:w="100" w:type="dxa"/>
              <w:bottom w:w="90" w:type="dxa"/>
              <w:end w:w="100" w:type="dxa"/>
            </w:tcMar>
            <w:vAlign w:val="center"/>
          </w:tcPr>
          <w:p>
            <w:r>
              <w:rPr>
                <w:rFonts w:ascii="Arial" w:hAnsi="Arial"/>
                <w:sz w:val="16"/>
              </w:rPr>
              <w:t>Decodifica requests, codifica responses y serializa/deserializa mensajes enviados o recibidos del LLM.</w:t>
            </w:r>
          </w:p>
        </w:tc>
        <w:tc>
          <w:tcPr>
            <w:tcW w:type="dxa" w:w="2448"/>
            <w:tcMar>
              <w:top w:w="90" w:type="dxa"/>
              <w:start w:w="100" w:type="dxa"/>
              <w:bottom w:w="90" w:type="dxa"/>
              <w:end w:w="100" w:type="dxa"/>
            </w:tcMar>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shd w:fill="F6F8FA"/>
            <w:vAlign w:val="center"/>
          </w:tcPr>
          <w:p>
            <w:r>
              <w:rPr>
                <w:rFonts w:ascii="Arial" w:hAnsi="Arial"/>
                <w:sz w:val="16"/>
              </w:rPr>
              <w:t>struct</w:t>
            </w:r>
          </w:p>
        </w:tc>
        <w:tc>
          <w:tcPr>
            <w:tcW w:type="dxa" w:w="2448"/>
            <w:tcMar>
              <w:top w:w="90" w:type="dxa"/>
              <w:start w:w="100" w:type="dxa"/>
              <w:bottom w:w="90" w:type="dxa"/>
              <w:end w:w="100" w:type="dxa"/>
            </w:tcMar>
            <w:shd w:fill="F6F8FA"/>
            <w:vAlign w:val="center"/>
          </w:tcPr>
          <w:p>
            <w:pPr>
              <w:jc w:val="center"/>
            </w:pPr>
            <w:r>
              <w:rPr>
                <w:rFonts w:ascii="Arial" w:hAnsi="Arial"/>
                <w:sz w:val="16"/>
              </w:rPr>
              <w:t>Sí</w:t>
            </w:r>
          </w:p>
        </w:tc>
        <w:tc>
          <w:tcPr>
            <w:tcW w:type="dxa" w:w="2448"/>
            <w:tcMar>
              <w:top w:w="90" w:type="dxa"/>
              <w:start w:w="100" w:type="dxa"/>
              <w:bottom w:w="90" w:type="dxa"/>
              <w:end w:w="100" w:type="dxa"/>
            </w:tcMar>
            <w:shd w:fill="F6F8FA"/>
            <w:vAlign w:val="center"/>
          </w:tcPr>
          <w:p>
            <w:r>
              <w:rPr>
                <w:rFonts w:ascii="Arial" w:hAnsi="Arial"/>
                <w:sz w:val="16"/>
              </w:rPr>
              <w:t>Modela configuración, DTO, docentes, evaluaciones, resultados y cuerpos de request/response.</w:t>
            </w:r>
          </w:p>
        </w:tc>
        <w:tc>
          <w:tcPr>
            <w:tcW w:type="dxa" w:w="2448"/>
            <w:tcMar>
              <w:top w:w="90" w:type="dxa"/>
              <w:start w:w="100" w:type="dxa"/>
              <w:bottom w:w="90" w:type="dxa"/>
              <w:end w:w="100" w:type="dxa"/>
            </w:tcMar>
            <w:shd w:fill="F6F8FA"/>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vAlign w:val="center"/>
          </w:tcPr>
          <w:p>
            <w:r>
              <w:rPr>
                <w:rFonts w:ascii="Arial" w:hAnsi="Arial"/>
                <w:sz w:val="16"/>
              </w:rPr>
              <w:t>collections</w:t>
            </w:r>
          </w:p>
        </w:tc>
        <w:tc>
          <w:tcPr>
            <w:tcW w:type="dxa" w:w="2448"/>
            <w:tcMar>
              <w:top w:w="90" w:type="dxa"/>
              <w:start w:w="100" w:type="dxa"/>
              <w:bottom w:w="90" w:type="dxa"/>
              <w:end w:w="100" w:type="dxa"/>
            </w:tcMar>
            <w:vAlign w:val="center"/>
          </w:tcPr>
          <w:p>
            <w:pPr>
              <w:jc w:val="center"/>
            </w:pPr>
            <w:r>
              <w:rPr>
                <w:rFonts w:ascii="Arial" w:hAnsi="Arial"/>
                <w:sz w:val="16"/>
              </w:rPr>
              <w:t>No / no aplica</w:t>
            </w:r>
          </w:p>
        </w:tc>
        <w:tc>
          <w:tcPr>
            <w:tcW w:type="dxa" w:w="2448"/>
            <w:tcMar>
              <w:top w:w="90" w:type="dxa"/>
              <w:start w:w="100" w:type="dxa"/>
              <w:bottom w:w="90" w:type="dxa"/>
              <w:end w:w="100" w:type="dxa"/>
            </w:tcMar>
            <w:vAlign w:val="center"/>
          </w:tcPr>
          <w:p>
            <w:r>
              <w:rPr>
                <w:rFonts w:ascii="Arial" w:hAnsi="Arial"/>
                <w:sz w:val="16"/>
              </w:rPr>
              <w:t>No existe como paquete estándar llamado collections y no aparece en el proyecto. Las colecciones se representan con slices y maps nativos.</w:t>
            </w:r>
          </w:p>
        </w:tc>
        <w:tc>
          <w:tcPr>
            <w:tcW w:type="dxa" w:w="2448"/>
            <w:tcMar>
              <w:top w:w="90" w:type="dxa"/>
              <w:start w:w="100" w:type="dxa"/>
              <w:bottom w:w="90" w:type="dxa"/>
              <w:end w:w="100" w:type="dxa"/>
            </w:tcMar>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shd w:fill="F6F8FA"/>
            <w:vAlign w:val="center"/>
          </w:tcPr>
          <w:p>
            <w:r>
              <w:rPr>
                <w:rFonts w:ascii="Arial" w:hAnsi="Arial"/>
                <w:sz w:val="16"/>
              </w:rPr>
              <w:t>goroutines</w:t>
            </w:r>
          </w:p>
        </w:tc>
        <w:tc>
          <w:tcPr>
            <w:tcW w:type="dxa" w:w="2448"/>
            <w:tcMar>
              <w:top w:w="90" w:type="dxa"/>
              <w:start w:w="100" w:type="dxa"/>
              <w:bottom w:w="90" w:type="dxa"/>
              <w:end w:w="100" w:type="dxa"/>
            </w:tcMar>
            <w:shd w:fill="F6F8FA"/>
            <w:vAlign w:val="center"/>
          </w:tcPr>
          <w:p>
            <w:pPr>
              <w:jc w:val="center"/>
            </w:pPr>
            <w:r>
              <w:rPr>
                <w:rFonts w:ascii="Arial" w:hAnsi="Arial"/>
                <w:sz w:val="16"/>
              </w:rPr>
              <w:t>Sí</w:t>
            </w:r>
          </w:p>
        </w:tc>
        <w:tc>
          <w:tcPr>
            <w:tcW w:type="dxa" w:w="2448"/>
            <w:tcMar>
              <w:top w:w="90" w:type="dxa"/>
              <w:start w:w="100" w:type="dxa"/>
              <w:bottom w:w="90" w:type="dxa"/>
              <w:end w:w="100" w:type="dxa"/>
            </w:tcMar>
            <w:shd w:fill="F6F8FA"/>
            <w:vAlign w:val="center"/>
          </w:tcPr>
          <w:p>
            <w:r>
              <w:rPr>
                <w:rFonts w:ascii="Arial" w:hAnsi="Arial"/>
                <w:sz w:val="16"/>
              </w:rPr>
              <w:t>main.go inicia ListenAndServe dentro de go func() para mantener el proceso disponible y ejecutar un apagado controlado cuando llegue una señal.</w:t>
            </w:r>
          </w:p>
        </w:tc>
        <w:tc>
          <w:tcPr>
            <w:tcW w:type="dxa" w:w="2448"/>
            <w:tcMar>
              <w:top w:w="90" w:type="dxa"/>
              <w:start w:w="100" w:type="dxa"/>
              <w:bottom w:w="90" w:type="dxa"/>
              <w:end w:w="100" w:type="dxa"/>
            </w:tcMar>
            <w:shd w:fill="F6F8FA"/>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vAlign w:val="center"/>
          </w:tcPr>
          <w:p>
            <w:r>
              <w:rPr>
                <w:rFonts w:ascii="Arial" w:hAnsi="Arial"/>
                <w:sz w:val="16"/>
              </w:rPr>
              <w:t>interfaces</w:t>
            </w:r>
          </w:p>
        </w:tc>
        <w:tc>
          <w:tcPr>
            <w:tcW w:type="dxa" w:w="2448"/>
            <w:tcMar>
              <w:top w:w="90" w:type="dxa"/>
              <w:start w:w="100" w:type="dxa"/>
              <w:bottom w:w="90" w:type="dxa"/>
              <w:end w:w="100" w:type="dxa"/>
            </w:tcMar>
            <w:vAlign w:val="center"/>
          </w:tcPr>
          <w:p>
            <w:pPr>
              <w:jc w:val="center"/>
            </w:pPr>
            <w:r>
              <w:rPr>
                <w:rFonts w:ascii="Arial" w:hAnsi="Arial"/>
                <w:sz w:val="16"/>
              </w:rPr>
              <w:t>Sí</w:t>
            </w:r>
          </w:p>
        </w:tc>
        <w:tc>
          <w:tcPr>
            <w:tcW w:type="dxa" w:w="2448"/>
            <w:tcMar>
              <w:top w:w="90" w:type="dxa"/>
              <w:start w:w="100" w:type="dxa"/>
              <w:bottom w:w="90" w:type="dxa"/>
              <w:end w:w="100" w:type="dxa"/>
            </w:tcMar>
            <w:vAlign w:val="center"/>
          </w:tcPr>
          <w:p>
            <w:r>
              <w:rPr>
                <w:rFonts w:ascii="Arial" w:hAnsi="Arial"/>
                <w:sz w:val="16"/>
              </w:rPr>
              <w:t>Repository y LLMProvider definen contratos que desacoplan persistencia y proveedor de IA de la lógica de negocio.</w:t>
            </w:r>
          </w:p>
        </w:tc>
        <w:tc>
          <w:tcPr>
            <w:tcW w:type="dxa" w:w="2448"/>
            <w:tcMar>
              <w:top w:w="90" w:type="dxa"/>
              <w:start w:w="100" w:type="dxa"/>
              <w:bottom w:w="90" w:type="dxa"/>
              <w:end w:w="100" w:type="dxa"/>
            </w:tcMar>
            <w:vAlign w:val="center"/>
          </w:tcPr>
          <w:p>
            <w:pPr>
              <w:jc w:val="center"/>
            </w:pPr>
            <w:r>
              <w:rPr>
                <w:rFonts w:ascii="Arial" w:hAnsi="Arial"/>
                <w:sz w:val="16"/>
              </w:rPr>
              <w:t>5</w:t>
            </w:r>
          </w:p>
        </w:tc>
      </w:tr>
      <w:tr>
        <w:trPr>
          <w:cantSplit/>
        </w:trPr>
        <w:tc>
          <w:tcPr>
            <w:tcW w:type="dxa" w:w="2448"/>
            <w:tcMar>
              <w:top w:w="90" w:type="dxa"/>
              <w:start w:w="100" w:type="dxa"/>
              <w:bottom w:w="90" w:type="dxa"/>
              <w:end w:w="100" w:type="dxa"/>
            </w:tcMar>
            <w:shd w:fill="F6F8FA"/>
            <w:vAlign w:val="center"/>
          </w:tcPr>
          <w:p>
            <w:r>
              <w:rPr>
                <w:rFonts w:ascii="Arial" w:hAnsi="Arial"/>
                <w:sz w:val="16"/>
              </w:rPr>
              <w:t>Otro: embed / io/fs</w:t>
            </w:r>
          </w:p>
        </w:tc>
        <w:tc>
          <w:tcPr>
            <w:tcW w:type="dxa" w:w="2448"/>
            <w:tcMar>
              <w:top w:w="90" w:type="dxa"/>
              <w:start w:w="100" w:type="dxa"/>
              <w:bottom w:w="90" w:type="dxa"/>
              <w:end w:w="100" w:type="dxa"/>
            </w:tcMar>
            <w:shd w:fill="F6F8FA"/>
            <w:vAlign w:val="center"/>
          </w:tcPr>
          <w:p>
            <w:pPr>
              <w:jc w:val="center"/>
            </w:pPr>
            <w:r>
              <w:rPr>
                <w:rFonts w:ascii="Arial" w:hAnsi="Arial"/>
                <w:sz w:val="16"/>
              </w:rPr>
              <w:t>Probablemente</w:t>
            </w:r>
          </w:p>
        </w:tc>
        <w:tc>
          <w:tcPr>
            <w:tcW w:type="dxa" w:w="2448"/>
            <w:tcMar>
              <w:top w:w="90" w:type="dxa"/>
              <w:start w:w="100" w:type="dxa"/>
              <w:bottom w:w="90" w:type="dxa"/>
              <w:end w:w="100" w:type="dxa"/>
            </w:tcMar>
            <w:shd w:fill="F6F8FA"/>
            <w:vAlign w:val="center"/>
          </w:tcPr>
          <w:p>
            <w:r>
              <w:rPr>
                <w:rFonts w:ascii="Arial" w:hAnsi="Arial"/>
                <w:sz w:val="16"/>
              </w:rPr>
              <w:t>embed incrusta la carpeta web dentro del binario y fs.Sub/FileServerFS permite servir index.html y app.js como archivos estáticos.</w:t>
            </w:r>
          </w:p>
        </w:tc>
        <w:tc>
          <w:tcPr>
            <w:tcW w:type="dxa" w:w="2448"/>
            <w:tcMar>
              <w:top w:w="90" w:type="dxa"/>
              <w:start w:w="100" w:type="dxa"/>
              <w:bottom w:w="90" w:type="dxa"/>
              <w:end w:w="100" w:type="dxa"/>
            </w:tcMar>
            <w:shd w:fill="F6F8FA"/>
            <w:vAlign w:val="center"/>
          </w:tcPr>
          <w:p>
            <w:pPr>
              <w:jc w:val="center"/>
            </w:pPr>
            <w:r>
              <w:rPr>
                <w:rFonts w:ascii="Arial" w:hAnsi="Arial"/>
                <w:sz w:val="16"/>
              </w:rPr>
              <w:t>5</w:t>
            </w:r>
          </w:p>
        </w:tc>
      </w:tr>
    </w:tbl>
    <w:p>
      <w:pPr>
        <w:spacing w:before="100" w:after="120"/>
      </w:pPr>
      <w:r>
        <w:rPr>
          <w:rFonts w:ascii="Arial" w:hAnsi="Arial"/>
          <w:b/>
          <w:color w:val="C0504D"/>
          <w:sz w:val="22"/>
        </w:rPr>
        <w:t xml:space="preserve">Observación de revisión: </w:t>
      </w:r>
      <w:r>
        <w:rPr>
          <w:rFonts w:ascii="Arial" w:hAnsi="Arial"/>
          <w:sz w:val="22"/>
        </w:rPr>
        <w:t>en el código entregado no aparece sync.Mutex. Sí existe una goroutine en main.go y el servidor HTTP puede atender solicitudes concurrentemente, pero no se debe afirmar que el proyecto usa Mutex salvo que se agregue posteriormente.</w:t>
      </w:r>
    </w:p>
    <w:p>
      <w:pPr>
        <w:pStyle w:val="Heading1"/>
      </w:pPr>
      <w:r>
        <w:t>6. Tres conceptos, patrones o líneas de código inicialmente confusos</w:t>
      </w:r>
    </w:p>
    <w:p>
      <w:pPr>
        <w:spacing w:after="140"/>
        <w:jc w:val="both"/>
      </w:pPr>
      <w:r>
        <w:rPr>
          <w:rFonts w:ascii="Arial" w:hAnsi="Arial"/>
          <w:b/>
          <w:color w:val="365F91"/>
          <w:sz w:val="22"/>
        </w:rPr>
        <w:t xml:space="preserve">context.Context: </w:t>
      </w:r>
      <w:r>
        <w:rPr>
          <w:rFonts w:ascii="Arial" w:hAnsi="Arial"/>
          <w:sz w:val="22"/>
        </w:rPr>
        <w:t>A primera vista parece un parámetro que se pasa de función en función sin cambiar los datos de negocio. Su función es acompañar la petición para que una cancelación o timeout pueda propagarse a operaciones HTTP y de base de datos. Ejemplos: r.Context() en handlers y context.WithTimeout(...) al apagar el servidor.</w:t>
      </w:r>
    </w:p>
    <w:p>
      <w:pPr>
        <w:spacing w:after="140"/>
        <w:jc w:val="both"/>
      </w:pPr>
      <w:r>
        <w:rPr>
          <w:rFonts w:ascii="Arial" w:hAnsi="Arial"/>
          <w:b/>
          <w:color w:val="365F91"/>
          <w:sz w:val="22"/>
        </w:rPr>
        <w:t xml:space="preserve">Interfaces como contratos (LLMProvider y Repository): </w:t>
      </w:r>
      <w:r>
        <w:rPr>
          <w:rFonts w:ascii="Arial" w:hAnsi="Arial"/>
          <w:sz w:val="22"/>
        </w:rPr>
        <w:t>No representan un objeto concreto sino un conjunto de métodos esperados. Service depende de llm.LLMProvider y storage.Repository, por lo que puede cambiar el proveedor de IA o la implementación de almacenamiento sin reescribir la lógica principal.</w:t>
      </w:r>
    </w:p>
    <w:p>
      <w:pPr>
        <w:spacing w:after="140"/>
        <w:jc w:val="both"/>
      </w:pPr>
      <w:r>
        <w:rPr>
          <w:rFonts w:ascii="Arial" w:hAnsi="Arial"/>
          <w:b/>
          <w:color w:val="365F91"/>
          <w:sz w:val="22"/>
        </w:rPr>
        <w:t xml:space="preserve">go func() + canal de señales: </w:t>
      </w:r>
      <w:r>
        <w:rPr>
          <w:rFonts w:ascii="Arial" w:hAnsi="Arial"/>
          <w:sz w:val="22"/>
        </w:rPr>
        <w:t>La línea go func() { srv.ListenAndServe() ... }() inicia el servidor en una goroutine. Después, main queda esperando en un canal creado con make(chan os.Signal, 1). Cuando llega SIGINT o SIGTERM, se ejecuta Shutdown con timeout. Es un patrón de apagado controlado o graceful shutdown.</w:t>
      </w:r>
    </w:p>
    <w:p>
      <w:r>
        <w:br w:type="page"/>
      </w:r>
    </w:p>
    <w:p>
      <w:pPr>
        <w:pStyle w:val="Heading1"/>
      </w:pPr>
      <w:r>
        <w:t>7. Ampliación propuesta en Go</w:t>
      </w:r>
    </w:p>
    <w:p>
      <w:pPr>
        <w:spacing w:after="120" w:line="276" w:lineRule="auto"/>
        <w:jc w:val="both"/>
      </w:pPr>
      <w:r>
        <w:rPr>
          <w:rFonts w:ascii="Arial" w:hAnsi="Arial"/>
          <w:sz w:val="22"/>
        </w:rPr>
        <w:t>Como ampliación sencilla y coherente con la presentación, se propone agregar un elemento adicional de evaluación del docente: la claridad. El siguiente archivo puede guardarse como internal/domain/evaluacion_docente.go. La función valida que las puntuaciones estén entre 1 y 5 y calcula un promedio de tres criterios.</w:t>
      </w:r>
    </w:p>
    <w:tbl>
      <w:tblPr>
        <w:tblW w:type="auto" w:w="0"/>
        <w:jc w:val="center"/>
        <w:tblLayout w:type="autofit"/>
        <w:tblLook w:firstColumn="1" w:firstRow="1" w:lastColumn="0" w:lastRow="0" w:noHBand="0" w:noVBand="1" w:val="04A0"/>
      </w:tblPr>
      <w:tblGrid>
        <w:gridCol w:w="9792"/>
      </w:tblGrid>
      <w:tr>
        <w:tc>
          <w:tcPr>
            <w:tcW w:type="dxa" w:w="9792"/>
            <w:shd w:fill="F3F5F7"/>
            <w:tcMar>
              <w:top w:w="120" w:type="dxa"/>
              <w:start w:w="140" w:type="dxa"/>
              <w:bottom w:w="120" w:type="dxa"/>
              <w:end w:w="140" w:type="dxa"/>
            </w:tcMar>
            <w:vAlign w:val="center"/>
          </w:tcPr>
          <w:p>
            <w:pPr>
              <w:spacing w:after="0"/>
            </w:pPr>
            <w:r>
              <w:rPr>
                <w:rFonts w:ascii="Consolas" w:hAnsi="Consolas"/>
                <w:sz w:val="18"/>
              </w:rPr>
              <w:t>package domain</w:t>
            </w:r>
            <w:r>
              <w:br/>
            </w:r>
            <w:r>
              <w:rPr>
                <w:rFonts w:ascii="Consolas" w:hAnsi="Consolas"/>
                <w:sz w:val="18"/>
              </w:rPr>
            </w:r>
            <w:r>
              <w:br/>
            </w:r>
            <w:r>
              <w:rPr>
                <w:rFonts w:ascii="Consolas" w:hAnsi="Consolas"/>
                <w:sz w:val="18"/>
              </w:rPr>
              <w:t>import "fmt"</w:t>
            </w:r>
            <w:r>
              <w:br/>
            </w:r>
            <w:r>
              <w:rPr>
                <w:rFonts w:ascii="Consolas" w:hAnsi="Consolas"/>
                <w:sz w:val="18"/>
              </w:rPr>
            </w:r>
            <w:r>
              <w:br/>
            </w:r>
            <w:r>
              <w:rPr>
                <w:rFonts w:ascii="Consolas" w:hAnsi="Consolas"/>
                <w:sz w:val="18"/>
              </w:rPr>
              <w:t>// EvaluacionDocente representa una evaluación complementaria del docente.</w:t>
            </w:r>
            <w:r>
              <w:br/>
            </w:r>
            <w:r>
              <w:rPr>
                <w:rFonts w:ascii="Consolas" w:hAnsi="Consolas"/>
                <w:sz w:val="18"/>
              </w:rPr>
              <w:t>type EvaluacionDocente struct {</w:t>
            </w:r>
            <w:r>
              <w:br/>
            </w:r>
            <w:r>
              <w:rPr>
                <w:rFonts w:ascii="Consolas" w:hAnsi="Consolas"/>
                <w:sz w:val="18"/>
              </w:rPr>
              <w:t xml:space="preserve">    DominioTema int `json:"dominio_tema"`</w:t>
            </w:r>
            <w:r>
              <w:br/>
            </w:r>
            <w:r>
              <w:rPr>
                <w:rFonts w:ascii="Consolas" w:hAnsi="Consolas"/>
                <w:sz w:val="18"/>
              </w:rPr>
              <w:t xml:space="preserve">    Claridad    int `json:"claridad"`</w:t>
            </w:r>
            <w:r>
              <w:br/>
            </w:r>
            <w:r>
              <w:rPr>
                <w:rFonts w:ascii="Consolas" w:hAnsi="Consolas"/>
                <w:sz w:val="18"/>
              </w:rPr>
              <w:t xml:space="preserve">    Puntualidad int `json:"puntualidad"`</w:t>
            </w:r>
            <w:r>
              <w:br/>
            </w:r>
            <w:r>
              <w:rPr>
                <w:rFonts w:ascii="Consolas" w:hAnsi="Consolas"/>
                <w:sz w:val="18"/>
              </w:rPr>
              <w:t>}</w:t>
            </w:r>
            <w:r>
              <w:br/>
            </w:r>
            <w:r>
              <w:rPr>
                <w:rFonts w:ascii="Consolas" w:hAnsi="Consolas"/>
                <w:sz w:val="18"/>
              </w:rPr>
            </w:r>
            <w:r>
              <w:br/>
            </w:r>
            <w:r>
              <w:rPr>
                <w:rFonts w:ascii="Consolas" w:hAnsi="Consolas"/>
                <w:sz w:val="18"/>
              </w:rPr>
              <w:t>// CalcularPromedio valida los criterios y devuelve el promedio.</w:t>
            </w:r>
            <w:r>
              <w:br/>
            </w:r>
            <w:r>
              <w:rPr>
                <w:rFonts w:ascii="Consolas" w:hAnsi="Consolas"/>
                <w:sz w:val="18"/>
              </w:rPr>
              <w:t>func (e EvaluacionDocente) CalcularPromedio() (float64, error) {</w:t>
            </w:r>
            <w:r>
              <w:br/>
            </w:r>
            <w:r>
              <w:rPr>
                <w:rFonts w:ascii="Consolas" w:hAnsi="Consolas"/>
                <w:sz w:val="18"/>
              </w:rPr>
              <w:t xml:space="preserve">    valores := []int{e.DominioTema, e.Claridad, e.Puntualidad}</w:t>
            </w:r>
            <w:r>
              <w:br/>
            </w:r>
            <w:r>
              <w:rPr>
                <w:rFonts w:ascii="Consolas" w:hAnsi="Consolas"/>
                <w:sz w:val="18"/>
              </w:rPr>
              <w:t xml:space="preserve">    for _, valor := range valores {</w:t>
            </w:r>
            <w:r>
              <w:br/>
            </w:r>
            <w:r>
              <w:rPr>
                <w:rFonts w:ascii="Consolas" w:hAnsi="Consolas"/>
                <w:sz w:val="18"/>
              </w:rPr>
              <w:t xml:space="preserve">        if valor &lt; 1 || valor &gt; 5 {</w:t>
            </w:r>
            <w:r>
              <w:br/>
            </w:r>
            <w:r>
              <w:rPr>
                <w:rFonts w:ascii="Consolas" w:hAnsi="Consolas"/>
                <w:sz w:val="18"/>
              </w:rPr>
              <w:t xml:space="preserve">            return 0, fmt.Errorf("cada criterio debe estar entre 1 y 5")</w:t>
            </w:r>
            <w:r>
              <w:br/>
            </w:r>
            <w:r>
              <w:rPr>
                <w:rFonts w:ascii="Consolas" w:hAnsi="Consolas"/>
                <w:sz w:val="18"/>
              </w:rPr>
              <w:t xml:space="preserve">        }</w:t>
            </w:r>
            <w:r>
              <w:br/>
            </w:r>
            <w:r>
              <w:rPr>
                <w:rFonts w:ascii="Consolas" w:hAnsi="Consolas"/>
                <w:sz w:val="18"/>
              </w:rPr>
              <w:t xml:space="preserve">    }</w:t>
            </w:r>
            <w:r>
              <w:br/>
            </w:r>
            <w:r>
              <w:rPr>
                <w:rFonts w:ascii="Consolas" w:hAnsi="Consolas"/>
                <w:sz w:val="18"/>
              </w:rPr>
            </w:r>
            <w:r>
              <w:br/>
            </w:r>
            <w:r>
              <w:rPr>
                <w:rFonts w:ascii="Consolas" w:hAnsi="Consolas"/>
                <w:sz w:val="18"/>
              </w:rPr>
              <w:t xml:space="preserve">    total := e.DominioTema + e.Claridad + e.Puntualidad</w:t>
            </w:r>
            <w:r>
              <w:br/>
            </w:r>
            <w:r>
              <w:rPr>
                <w:rFonts w:ascii="Consolas" w:hAnsi="Consolas"/>
                <w:sz w:val="18"/>
              </w:rPr>
              <w:t xml:space="preserve">    return float64(total) / float64(len(valores)), nil</w:t>
            </w:r>
            <w:r>
              <w:br/>
            </w:r>
            <w:r>
              <w:rPr>
                <w:rFonts w:ascii="Consolas" w:hAnsi="Consolas"/>
                <w:sz w:val="18"/>
              </w:rPr>
              <w:t>}</w:t>
            </w:r>
          </w:p>
        </w:tc>
      </w:tr>
    </w:tbl>
    <w:p>
      <w:pPr>
        <w:spacing w:after="120" w:line="276" w:lineRule="auto"/>
        <w:jc w:val="both"/>
      </w:pPr>
      <w:r>
        <w:rPr>
          <w:rFonts w:ascii="Arial" w:hAnsi="Arial"/>
          <w:sz w:val="22"/>
        </w:rPr>
        <w:t>Esta ampliación permite demostrar el uso de struct, slices, validación, funciones/métodos y tipos de retorno con error. Para una integración posterior, el handler podría recibir estos criterios mediante JSON y almacenar el promedio en la base de datos.</w:t>
      </w:r>
    </w:p>
    <w:p>
      <w:pPr>
        <w:pStyle w:val="Heading1"/>
      </w:pPr>
      <w:r>
        <w:t>8. Conclusiones</w:t>
      </w:r>
    </w:p>
    <w:p>
      <w:pPr>
        <w:spacing w:after="120" w:line="276" w:lineRule="auto"/>
        <w:jc w:val="both"/>
      </w:pPr>
      <w:r>
        <w:rPr>
          <w:rFonts w:ascii="Arial" w:hAnsi="Arial"/>
          <w:sz w:val="22"/>
        </w:rPr>
        <w:t>La revisión permitió identificar con claridad la separación por capas del proyecto. El navegador se encarga de recopilar datos y mostrar resultados; el router y los handlers gestionan HTTP; el servicio coordina la lógica; el módulo llm construye el prompt y consulta Groq; y el repositorio encapsula SQLite. Esta organización reduce el acoplamiento y facilita cambiar componentes de manera independiente.</w:t>
      </w:r>
    </w:p>
    <w:p>
      <w:pPr>
        <w:spacing w:after="120" w:line="276" w:lineRule="auto"/>
        <w:jc w:val="both"/>
      </w:pPr>
      <w:r>
        <w:rPr>
          <w:rFonts w:ascii="Arial" w:hAnsi="Arial"/>
          <w:sz w:val="22"/>
        </w:rPr>
        <w:t>También se comprobó que la petición mantiene un recorrido trazable desde app.js hasta GroqClient.Analizar y regresa como JSON hacia renderizarResultado(). Entre los conceptos más relevantes se encuentran context.Context, las interfaces y la goroutine utilizada en el arranque del servidor. Finalmente, se propuso una función adicional de evaluación docente para ampliar el proyecto de manera sencilla y defendible.</w:t>
      </w:r>
    </w:p>
    <w:p>
      <w:pPr>
        <w:pStyle w:val="Heading1"/>
      </w:pPr>
      <w:r>
        <w:t>9. Archivos a entregar en el repositorio</w:t>
      </w:r>
    </w:p>
    <w:p>
      <w:pPr>
        <w:pStyle w:val="ListBullet"/>
        <w:spacing w:after="60"/>
      </w:pPr>
      <w:r>
        <w:rPr>
          <w:rFonts w:ascii="Arial" w:hAnsi="Arial"/>
          <w:sz w:val="22"/>
        </w:rPr>
        <w:t>Informe en Word: Informe_Taller24_Diego_Loza.docx.</w:t>
      </w:r>
    </w:p>
    <w:p>
      <w:pPr>
        <w:pStyle w:val="ListBullet"/>
        <w:spacing w:after="60"/>
      </w:pPr>
      <w:r>
        <w:rPr>
          <w:rFonts w:ascii="Arial" w:hAnsi="Arial"/>
          <w:sz w:val="22"/>
        </w:rPr>
        <w:t>Presentación en PowerPoint del Taller 24.</w:t>
      </w:r>
    </w:p>
    <w:p>
      <w:pPr>
        <w:pStyle w:val="ListBullet"/>
        <w:spacing w:after="60"/>
      </w:pPr>
      <w:r>
        <w:rPr>
          <w:rFonts w:ascii="Arial" w:hAnsi="Arial"/>
          <w:sz w:val="22"/>
        </w:rPr>
        <w:t>Archivo Go adicional: internal/domain/evaluacion_docente.go.</w:t>
      </w:r>
    </w:p>
    <w:p>
      <w:pPr>
        <w:pStyle w:val="ListBullet"/>
        <w:spacing w:after="60"/>
      </w:pPr>
      <w:r>
        <w:rPr>
          <w:rFonts w:ascii="Arial" w:hAnsi="Arial"/>
          <w:sz w:val="22"/>
        </w:rPr>
        <w:t>Código fuente original del proyecto dentro del repositorio.</w:t>
      </w:r>
    </w:p>
    <w:p>
      <w:pPr>
        <w:pStyle w:val="ListBullet"/>
        <w:spacing w:after="60"/>
      </w:pPr>
      <w:r>
        <w:rPr>
          <w:rFonts w:ascii="Arial" w:hAnsi="Arial"/>
          <w:sz w:val="22"/>
        </w:rPr>
        <w:t>Luego ejecutar git add ., git commit y git push, y entregar en Canvas el enlace del repositorio correspondiente a la tarea.</w:t>
      </w:r>
    </w:p>
    <w:p>
      <w:pPr>
        <w:spacing w:before="160"/>
      </w:pPr>
      <w:r>
        <w:rPr>
          <w:rFonts w:ascii="Arial" w:hAnsi="Arial"/>
          <w:b/>
          <w:color w:val="C0504D"/>
          <w:sz w:val="22"/>
        </w:rPr>
        <w:t xml:space="preserve">Importante antes de publicar en GitHub: </w:t>
      </w:r>
      <w:r>
        <w:rPr>
          <w:rFonts w:ascii="Arial" w:hAnsi="Arial"/>
          <w:sz w:val="22"/>
        </w:rPr>
        <w:t>revisar internal/config/config.go y eliminar cualquier API key escrita en comentarios o código. Las claves reales deben mantenerse únicamente en variables de entorno. Si una clave real ya fue expuesta, debe revocarse y generarse una nueva.</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7"/>
      </w:rPr>
      <w:t>Taller 24 · Revisión de Código · digcompedu-api-v1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