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  <w:jc w:val="center"/>
      </w:pPr>
      <w:r>
        <w:rPr>
          <w:rFonts w:ascii="Calibri" w:hAnsi="Calibri"/>
          <w:b/>
          <w:caps/>
          <w:color w:val="6C757D"/>
          <w:sz w:val="18"/>
        </w:rPr>
        <w:t>CONSULTORIA ESPECIALIZADA EM DOCUMENTACAO DE DADOS</w:t>
      </w:r>
    </w:p>
    <w:p>
      <w:pPr>
        <w:spacing w:before="320" w:after="160"/>
        <w:jc w:val="center"/>
      </w:pPr>
      <w:r>
        <w:rPr>
          <w:rFonts w:ascii="Calibri" w:hAnsi="Calibri"/>
          <w:b/>
          <w:caps w:val="0"/>
          <w:color w:val="161C24"/>
          <w:sz w:val="44"/>
        </w:rPr>
        <w:t>PROPOSTA COMERCIAL</w:t>
      </w:r>
    </w:p>
    <w:p>
      <w:pPr>
        <w:spacing w:before="160" w:after="200"/>
        <w:jc w:val="center"/>
      </w:pPr>
      <w:r>
        <w:rPr>
          <w:rFonts w:ascii="Calibri" w:hAnsi="Calibri"/>
          <w:b w:val="0"/>
          <w:caps w:val="0"/>
          <w:color w:val="586370"/>
          <w:sz w:val="25"/>
        </w:rPr>
        <w:t>Documentacao Tecnica e Executiva para Projetos de Dados</w:t>
      </w:r>
    </w:p>
    <w:p>
      <w:pPr>
        <w:spacing w:after="320"/>
        <w:jc w:val="center"/>
      </w:pPr>
      <w:r>
        <w:rPr>
          <w:rFonts w:ascii="Calibri" w:hAnsi="Calibri"/>
          <w:b w:val="0"/>
          <w:caps w:val="0"/>
          <w:color w:val="586370"/>
          <w:sz w:val="20"/>
        </w:rPr>
        <w:t>Estrutura comercial pronta para apresentar com clareza tecnica, consistencia executiva e padrao premium de entrega.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3288"/>
      </w:tblGrid>
      <w:tr>
        <w:tc>
          <w:tcPr>
            <w:tcW w:type="dxa" w:w="4901"/>
            <w:tcBorders>
              <w:top w:val="single" w:sz="10" w:space="0" w:color="D2DBE4"/>
              <w:left w:val="single" w:sz="10" w:space="0" w:color="D2DBE4"/>
              <w:bottom w:val="single" w:sz="10" w:space="0" w:color="D2DBE4"/>
              <w:right w:val="single" w:sz="10" w:space="0" w:color="D2DBE4"/>
            </w:tcBorders>
            <w:vAlign w:val="center"/>
            <w:shd w:fill="EEF3F6"/>
          </w:tcPr>
          <w:p>
            <w:pPr>
              <w:spacing w:after="120"/>
            </w:pPr>
            <w:r>
              <w:rPr>
                <w:rFonts w:ascii="Calibri" w:hAnsi="Calibri"/>
                <w:b/>
                <w:caps w:val="0"/>
                <w:color w:val="0C3D59"/>
                <w:sz w:val="21"/>
              </w:rPr>
              <w:t>Escopo da proposta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aps w:val="0"/>
                <w:color w:val="161C24"/>
                <w:sz w:val="20"/>
              </w:rPr>
              <w:t>Servico de estruturacao documental para transformar artefatos analiticos em materiais tecnicos e executivos claros, organizados e prontos para uso corporativo.</w:t>
            </w:r>
          </w:p>
        </w:tc>
        <w:tc>
          <w:tcPr>
            <w:tcW w:type="dxa" w:w="4901"/>
            <w:tcBorders>
              <w:top w:val="single" w:sz="10" w:space="0" w:color="D2DBE4"/>
              <w:left w:val="single" w:sz="10" w:space="0" w:color="D2DBE4"/>
              <w:bottom w:val="single" w:sz="10" w:space="0" w:color="D2DBE4"/>
              <w:right w:val="single" w:sz="10" w:space="0" w:color="D2DBE4"/>
            </w:tcBorders>
            <w:vAlign w:val="center"/>
            <w:shd w:fill="FFFFFF"/>
          </w:tcPr>
          <w:p>
            <w:pPr>
              <w:spacing w:after="100"/>
            </w:pPr>
            <w:r>
              <w:rPr>
                <w:rFonts w:ascii="Calibri" w:hAnsi="Calibri"/>
                <w:b/>
                <w:caps/>
                <w:color w:val="6C757D"/>
                <w:sz w:val="17"/>
              </w:rPr>
              <w:t>Cliente</w:t>
              <w:br/>
            </w:r>
            <w:r>
              <w:rPr>
                <w:rFonts w:ascii="Calibri" w:hAnsi="Calibri"/>
                <w:b/>
                <w:caps w:val="0"/>
                <w:color w:val="161C24"/>
                <w:sz w:val="20"/>
              </w:rPr>
              <w:t>Empresa Cliente</w:t>
            </w:r>
          </w:p>
          <w:p>
            <w:pPr>
              <w:spacing w:after="100"/>
            </w:pPr>
            <w:r>
              <w:rPr>
                <w:rFonts w:ascii="Calibri" w:hAnsi="Calibri"/>
                <w:b/>
                <w:caps/>
                <w:color w:val="6C757D"/>
                <w:sz w:val="17"/>
              </w:rPr>
              <w:t>Projeto</w:t>
              <w:br/>
            </w:r>
            <w:r>
              <w:rPr>
                <w:rFonts w:ascii="Calibri" w:hAnsi="Calibri"/>
                <w:b w:val="0"/>
                <w:caps w:val="0"/>
                <w:color w:val="161C24"/>
                <w:sz w:val="20"/>
              </w:rPr>
              <w:t>Documentacao de Artefatos Analiticos</w:t>
            </w:r>
          </w:p>
          <w:p>
            <w:pPr>
              <w:spacing w:after="100"/>
            </w:pPr>
            <w:r>
              <w:rPr>
                <w:rFonts w:ascii="Calibri" w:hAnsi="Calibri"/>
                <w:b/>
                <w:caps/>
                <w:color w:val="6C757D"/>
                <w:sz w:val="17"/>
              </w:rPr>
              <w:t>Data</w:t>
              <w:br/>
            </w:r>
            <w:r>
              <w:rPr>
                <w:rFonts w:ascii="Calibri" w:hAnsi="Calibri"/>
                <w:b w:val="0"/>
                <w:caps w:val="0"/>
                <w:color w:val="161C24"/>
                <w:sz w:val="20"/>
              </w:rPr>
              <w:t>27/03/2026</w:t>
            </w:r>
          </w:p>
          <w:p>
            <w:pPr>
              <w:spacing w:after="100"/>
            </w:pPr>
            <w:r>
              <w:rPr>
                <w:rFonts w:ascii="Calibri" w:hAnsi="Calibri"/>
                <w:b/>
                <w:caps/>
                <w:color w:val="6C757D"/>
                <w:sz w:val="17"/>
              </w:rPr>
              <w:t>Proposta no</w:t>
              <w:br/>
            </w:r>
            <w:r>
              <w:rPr>
                <w:rFonts w:ascii="Calibri" w:hAnsi="Calibri"/>
                <w:b w:val="0"/>
                <w:caps w:val="0"/>
                <w:color w:val="161C24"/>
                <w:sz w:val="20"/>
              </w:rPr>
              <w:t>PC-2026-001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5556"/>
      </w:tblGrid>
      <w:tr>
        <w:tc>
          <w:tcPr>
            <w:tcW w:type="dxa" w:w="4901"/>
            <w:shd w:fill="16242F"/>
            <w:tcBorders>
              <w:top w:val="single" w:sz="10" w:space="0" w:color="243745"/>
              <w:left w:val="single" w:sz="10" w:space="0" w:color="243745"/>
              <w:bottom w:val="single" w:sz="10" w:space="0" w:color="243745"/>
              <w:right w:val="single" w:sz="10" w:space="0" w:color="243745"/>
            </w:tcBorders>
          </w:tcPr>
          <w:p>
            <w:pPr>
              <w:spacing w:after="100"/>
            </w:pPr>
            <w:r>
              <w:rPr>
                <w:rFonts w:ascii="Calibri" w:hAnsi="Calibri"/>
                <w:b/>
                <w:caps/>
                <w:color w:val="FFFFFF"/>
                <w:sz w:val="17"/>
              </w:rPr>
              <w:t>Pacote recomendado</w:t>
              <w:br/>
            </w:r>
            <w:r>
              <w:rPr>
                <w:rFonts w:ascii="Calibri" w:hAnsi="Calibri"/>
                <w:b/>
                <w:caps w:val="0"/>
                <w:color w:val="FFFFFF"/>
                <w:sz w:val="24"/>
              </w:rPr>
              <w:t>Pacote 3 | Executivo</w:t>
            </w:r>
          </w:p>
        </w:tc>
        <w:tc>
          <w:tcPr>
            <w:tcW w:type="dxa" w:w="4901"/>
            <w:shd w:fill="EEF3F6"/>
            <w:tcBorders>
              <w:top w:val="single" w:sz="10" w:space="0" w:color="D2DBE4"/>
              <w:left w:val="single" w:sz="10" w:space="0" w:color="D2DBE4"/>
              <w:bottom w:val="single" w:sz="10" w:space="0" w:color="D2DBE4"/>
              <w:right w:val="single" w:sz="10" w:space="0" w:color="D2DBE4"/>
            </w:tcBorders>
          </w:tcPr>
          <w:p>
            <w:pPr>
              <w:spacing w:after="100"/>
            </w:pPr>
            <w:r>
              <w:rPr>
                <w:rFonts w:ascii="Calibri" w:hAnsi="Calibri"/>
                <w:b/>
                <w:caps/>
                <w:color w:val="6C757D"/>
                <w:sz w:val="17"/>
              </w:rPr>
              <w:t>Investimento final proposto</w:t>
              <w:br/>
            </w:r>
            <w:r>
              <w:rPr>
                <w:rFonts w:ascii="Calibri" w:hAnsi="Calibri"/>
                <w:b/>
                <w:caps w:val="0"/>
                <w:color w:val="0C3D59"/>
                <w:sz w:val="26"/>
              </w:rPr>
              <w:t>R$ 1.250,00</w:t>
            </w:r>
          </w:p>
        </w:tc>
      </w:tr>
    </w:tbl>
    <w:p/>
    <w:p>
      <w:pPr>
        <w:sectPr>
          <w:headerReference w:type="default" r:id="rId9"/>
          <w:footerReference w:type="default" r:id="rId10"/>
          <w:pgSz w:w="12240" w:h="15840"/>
          <w:pgMar w:top="1247" w:right="1134" w:bottom="1020" w:left="1304" w:header="567" w:footer="567" w:gutter="0"/>
          <w:cols w:space="720"/>
          <w:docGrid w:linePitch="360"/>
        </w:sectPr>
      </w:pPr>
    </w:p>
    <w:p>
      <w:pPr>
        <w:spacing w:before="320" w:after="140"/>
        <w:pBdr>
          <w:bottom w:val="single" w:sz="6" w:space="1" w:color="D6DEE6"/>
        </w:pBdr>
      </w:pPr>
      <w:r>
        <w:rPr>
          <w:rFonts w:ascii="Calibri" w:hAnsi="Calibri"/>
          <w:b/>
          <w:caps w:val="0"/>
          <w:color w:val="0C3D59"/>
          <w:sz w:val="24"/>
        </w:rPr>
        <w:t>1. Resumo Executivo</w:t>
      </w:r>
    </w:p>
    <w:p>
      <w:pPr>
        <w:spacing w:after="120" w:line="288" w:lineRule="auto"/>
        <w:jc w:val="both"/>
      </w:pPr>
      <w:r>
        <w:rPr>
          <w:rFonts w:ascii="Calibri" w:hAnsi="Calibri"/>
          <w:b w:val="0"/>
          <w:caps w:val="0"/>
          <w:color w:val="161C24"/>
        </w:rPr>
        <w:t>Esta proposta contempla a producao de documentacao analitica profissional para notebooks, dashboards e artefatos de dados, com foco em transformar entregas tecnicas em materiais claros, valorizados e prontos para uso corporativo.</w:t>
      </w:r>
    </w:p>
    <w:p>
      <w:pPr>
        <w:spacing w:after="120" w:line="288" w:lineRule="auto"/>
        <w:jc w:val="both"/>
      </w:pPr>
      <w:r>
        <w:rPr>
          <w:rFonts w:ascii="Calibri" w:hAnsi="Calibri"/>
          <w:b w:val="0"/>
          <w:caps w:val="0"/>
          <w:color w:val="161C24"/>
        </w:rPr>
        <w:t>O trabalho combina leitura tecnica do artefato, organizacao do fluxo operacional, inventario dos componentes relevantes e, quando aplicavel, uma camada executiva pronta para compartilhamento com lideranca, cliente ou areas de negocio.</w:t>
      </w:r>
    </w:p>
    <w:p>
      <w:pPr>
        <w:spacing w:before="320" w:after="140"/>
        <w:pBdr>
          <w:bottom w:val="single" w:sz="6" w:space="1" w:color="D6DEE6"/>
        </w:pBdr>
      </w:pPr>
      <w:r>
        <w:rPr>
          <w:rFonts w:ascii="Calibri" w:hAnsi="Calibri"/>
          <w:b/>
          <w:caps w:val="0"/>
          <w:color w:val="0C3D59"/>
          <w:sz w:val="24"/>
        </w:rPr>
        <w:t>2. Contexto</w:t>
      </w:r>
    </w:p>
    <w:p>
      <w:pPr>
        <w:spacing w:after="120" w:line="288" w:lineRule="auto"/>
        <w:jc w:val="both"/>
      </w:pPr>
      <w:r>
        <w:rPr>
          <w:rFonts w:ascii="Calibri" w:hAnsi="Calibri"/>
          <w:b w:val="0"/>
          <w:caps w:val="0"/>
          <w:color w:val="161C24"/>
        </w:rPr>
        <w:t>Em muitos projetos de dados, o artefato final existe, mas o conhecimento fica disperso no codigo, no dashboard ou na explicacao verbal. Isso gera dificuldade para:</w:t>
      </w:r>
    </w:p>
    <w:p>
      <w:pPr>
        <w:pStyle w:val="ListBullet"/>
        <w:spacing w:after="60"/>
        <w:ind w:left="255"/>
      </w:pPr>
      <w:r>
        <w:rPr>
          <w:rFonts w:ascii="Calibri" w:hAnsi="Calibri"/>
          <w:b w:val="0"/>
          <w:caps w:val="0"/>
          <w:color w:val="161C24"/>
        </w:rPr>
        <w:t>entender rapidamente como o artefato esta organizado</w:t>
      </w:r>
    </w:p>
    <w:p>
      <w:pPr>
        <w:pStyle w:val="ListBullet"/>
        <w:spacing w:after="60"/>
        <w:ind w:left="255"/>
      </w:pPr>
      <w:r>
        <w:rPr>
          <w:rFonts w:ascii="Calibri" w:hAnsi="Calibri"/>
          <w:b w:val="0"/>
          <w:caps w:val="0"/>
          <w:color w:val="161C24"/>
        </w:rPr>
        <w:t>identificar fontes, componentes, consultas, funcoes ou visuais relevantes</w:t>
      </w:r>
    </w:p>
    <w:p>
      <w:pPr>
        <w:pStyle w:val="ListBullet"/>
        <w:spacing w:after="60"/>
        <w:ind w:left="255"/>
      </w:pPr>
      <w:r>
        <w:rPr>
          <w:rFonts w:ascii="Calibri" w:hAnsi="Calibri"/>
          <w:b w:val="0"/>
          <w:caps w:val="0"/>
          <w:color w:val="161C24"/>
        </w:rPr>
        <w:t>repassar conhecimento entre times tecnicos, operacionais e gestores</w:t>
      </w:r>
    </w:p>
    <w:p>
      <w:pPr>
        <w:pStyle w:val="ListBullet"/>
        <w:spacing w:after="60"/>
        <w:ind w:left="255"/>
      </w:pPr>
      <w:r>
        <w:rPr>
          <w:rFonts w:ascii="Calibri" w:hAnsi="Calibri"/>
          <w:b w:val="0"/>
          <w:caps w:val="0"/>
          <w:color w:val="161C24"/>
        </w:rPr>
        <w:t>sustentar a solucao ao longo do tempo com menor dependencia de contexto informal</w:t>
      </w:r>
    </w:p>
    <w:p>
      <w:pPr>
        <w:pStyle w:val="ListBullet"/>
        <w:spacing w:after="60"/>
        <w:ind w:left="255"/>
      </w:pPr>
      <w:r>
        <w:rPr>
          <w:rFonts w:ascii="Calibri" w:hAnsi="Calibri"/>
          <w:b w:val="0"/>
          <w:caps w:val="0"/>
          <w:color w:val="161C24"/>
        </w:rPr>
        <w:t>comunicar o valor da entrega para publico nao tecnico com mais clareza</w:t>
      </w:r>
    </w:p>
    <w:p>
      <w:pPr>
        <w:spacing w:after="120" w:line="288" w:lineRule="auto"/>
        <w:jc w:val="both"/>
      </w:pPr>
      <w:r>
        <w:rPr>
          <w:rFonts w:ascii="Calibri" w:hAnsi="Calibri"/>
          <w:b w:val="0"/>
          <w:caps w:val="0"/>
          <w:color w:val="161C24"/>
        </w:rPr>
        <w:t>A proposta deste servico e elevar a percepcao de valor da entrega, convertendo o artefato analisado em um material documental com padrao profissional, rastreabilidade tecnica e leitura executiva adequada para uso interno ou apresentacao ao cliente.</w:t>
      </w:r>
    </w:p>
    <w:p>
      <w:pPr>
        <w:spacing w:before="320" w:after="140"/>
        <w:pBdr>
          <w:bottom w:val="single" w:sz="6" w:space="1" w:color="D6DEE6"/>
        </w:pBdr>
      </w:pPr>
      <w:r>
        <w:rPr>
          <w:rFonts w:ascii="Calibri" w:hAnsi="Calibri"/>
          <w:b/>
          <w:caps w:val="0"/>
          <w:color w:val="0C3D59"/>
          <w:sz w:val="24"/>
        </w:rPr>
        <w:t>3. Objetivo do Trabalho</w:t>
      </w:r>
    </w:p>
    <w:p>
      <w:pPr>
        <w:pStyle w:val="ListBullet"/>
        <w:spacing w:after="60"/>
        <w:ind w:left="255"/>
      </w:pPr>
      <w:r>
        <w:rPr>
          <w:rFonts w:ascii="Calibri" w:hAnsi="Calibri"/>
          <w:b w:val="0"/>
          <w:caps w:val="0"/>
          <w:color w:val="161C24"/>
        </w:rPr>
        <w:t>documentar o artefato com estrutura formal e leitura objetiva</w:t>
      </w:r>
    </w:p>
    <w:p>
      <w:pPr>
        <w:pStyle w:val="ListBullet"/>
        <w:spacing w:after="60"/>
        <w:ind w:left="255"/>
      </w:pPr>
      <w:r>
        <w:rPr>
          <w:rFonts w:ascii="Calibri" w:hAnsi="Calibri"/>
          <w:b w:val="0"/>
          <w:caps w:val="0"/>
          <w:color w:val="161C24"/>
        </w:rPr>
        <w:t>registrar fluxo, dependencias, regras e componentes tecnicos relevantes</w:t>
      </w:r>
    </w:p>
    <w:p>
      <w:pPr>
        <w:pStyle w:val="ListBullet"/>
        <w:spacing w:after="60"/>
        <w:ind w:left="255"/>
      </w:pPr>
      <w:r>
        <w:rPr>
          <w:rFonts w:ascii="Calibri" w:hAnsi="Calibri"/>
          <w:b w:val="0"/>
          <w:caps w:val="0"/>
          <w:color w:val="161C24"/>
        </w:rPr>
        <w:t>produzir um inventario tecnico utilizavel por times de dados e negocio</w:t>
      </w:r>
    </w:p>
    <w:p>
      <w:pPr>
        <w:pStyle w:val="ListBullet"/>
        <w:spacing w:after="60"/>
        <w:ind w:left="255"/>
      </w:pPr>
      <w:r>
        <w:rPr>
          <w:rFonts w:ascii="Calibri" w:hAnsi="Calibri"/>
          <w:b w:val="0"/>
          <w:caps w:val="0"/>
          <w:color w:val="161C24"/>
        </w:rPr>
        <w:t>reduzir dependencia de explicacoes manuais para entendimento da entrega</w:t>
      </w:r>
    </w:p>
    <w:p>
      <w:pPr>
        <w:pStyle w:val="ListBullet"/>
        <w:spacing w:after="60"/>
        <w:ind w:left="255"/>
      </w:pPr>
      <w:r>
        <w:rPr>
          <w:rFonts w:ascii="Calibri" w:hAnsi="Calibri"/>
          <w:b w:val="0"/>
          <w:caps w:val="0"/>
          <w:color w:val="161C24"/>
        </w:rPr>
        <w:t>aumentar a clareza, a percepcao de organizacao e o valor percebido da solucao</w:t>
      </w:r>
    </w:p>
    <w:p>
      <w:pPr>
        <w:spacing w:before="320" w:after="140"/>
        <w:pBdr>
          <w:bottom w:val="single" w:sz="6" w:space="1" w:color="D6DEE6"/>
        </w:pBdr>
      </w:pPr>
      <w:r>
        <w:rPr>
          <w:rFonts w:ascii="Calibri" w:hAnsi="Calibri"/>
          <w:b/>
          <w:caps w:val="0"/>
          <w:color w:val="0C3D59"/>
          <w:sz w:val="24"/>
        </w:rPr>
        <w:t>4. Escopo da Entrega</w:t>
      </w:r>
    </w:p>
    <w:p>
      <w:pPr>
        <w:spacing w:before="180" w:after="60"/>
      </w:pPr>
      <w:r>
        <w:rPr>
          <w:rFonts w:ascii="Calibri" w:hAnsi="Calibri"/>
          <w:b/>
          <w:caps w:val="0"/>
          <w:color w:val="161C24"/>
          <w:sz w:val="21"/>
        </w:rPr>
        <w:t>4.1 Documentacao tecnica</w:t>
      </w:r>
    </w:p>
    <w:p>
      <w:pPr>
        <w:pStyle w:val="ListBullet"/>
        <w:spacing w:after="60"/>
        <w:ind w:left="255"/>
      </w:pPr>
      <w:r>
        <w:rPr>
          <w:rFonts w:ascii="Calibri" w:hAnsi="Calibri"/>
          <w:b w:val="0"/>
          <w:caps w:val="0"/>
          <w:color w:val="161C24"/>
        </w:rPr>
        <w:t>leitura tecnica do arquivo fonte enviado</w:t>
      </w:r>
    </w:p>
    <w:p>
      <w:pPr>
        <w:pStyle w:val="ListBullet"/>
        <w:spacing w:after="60"/>
        <w:ind w:left="255"/>
      </w:pPr>
      <w:r>
        <w:rPr>
          <w:rFonts w:ascii="Calibri" w:hAnsi="Calibri"/>
          <w:b w:val="0"/>
          <w:caps w:val="0"/>
          <w:color w:val="161C24"/>
        </w:rPr>
        <w:t>interpretacao da estrutura do notebook, dashboard ou artefato analitico</w:t>
      </w:r>
    </w:p>
    <w:p>
      <w:pPr>
        <w:pStyle w:val="ListBullet"/>
        <w:spacing w:after="60"/>
        <w:ind w:left="255"/>
      </w:pPr>
      <w:r>
        <w:rPr>
          <w:rFonts w:ascii="Calibri" w:hAnsi="Calibri"/>
          <w:b w:val="0"/>
          <w:caps w:val="0"/>
          <w:color w:val="161C24"/>
        </w:rPr>
        <w:t>mapeamento do fluxo logico, etapas, consultas, transformacoes, metricas e dependencias</w:t>
      </w:r>
    </w:p>
    <w:p>
      <w:pPr>
        <w:pStyle w:val="ListBullet"/>
        <w:spacing w:after="60"/>
        <w:ind w:left="255"/>
      </w:pPr>
      <w:r>
        <w:rPr>
          <w:rFonts w:ascii="Calibri" w:hAnsi="Calibri"/>
          <w:b w:val="0"/>
          <w:caps w:val="0"/>
          <w:color w:val="161C24"/>
        </w:rPr>
        <w:t>inventario dos componentes relevantes do artefato analisado</w:t>
      </w:r>
    </w:p>
    <w:p>
      <w:pPr>
        <w:pStyle w:val="ListBullet"/>
        <w:spacing w:after="60"/>
        <w:ind w:left="255"/>
      </w:pPr>
      <w:r>
        <w:rPr>
          <w:rFonts w:ascii="Calibri" w:hAnsi="Calibri"/>
          <w:b w:val="0"/>
          <w:caps w:val="0"/>
          <w:color w:val="161C24"/>
        </w:rPr>
        <w:t>organizacao da documentacao em formato tecnico estruturado e rastreavel</w:t>
      </w:r>
    </w:p>
    <w:p>
      <w:pPr>
        <w:spacing w:before="180" w:after="60"/>
      </w:pPr>
      <w:r>
        <w:rPr>
          <w:rFonts w:ascii="Calibri" w:hAnsi="Calibri"/>
          <w:b/>
          <w:caps w:val="0"/>
          <w:color w:val="161C24"/>
          <w:sz w:val="21"/>
        </w:rPr>
        <w:t>4.2 Material executivo</w:t>
      </w:r>
    </w:p>
    <w:p>
      <w:pPr>
        <w:pStyle w:val="ListBullet"/>
        <w:spacing w:after="60"/>
        <w:ind w:left="255"/>
      </w:pPr>
      <w:r>
        <w:rPr>
          <w:rFonts w:ascii="Calibri" w:hAnsi="Calibri"/>
          <w:b w:val="0"/>
          <w:caps w:val="0"/>
          <w:color w:val="161C24"/>
        </w:rPr>
        <w:t>consolidacao de uma visao executiva do projeto ou relatorio</w:t>
      </w:r>
    </w:p>
    <w:p>
      <w:pPr>
        <w:pStyle w:val="ListBullet"/>
        <w:spacing w:after="60"/>
        <w:ind w:left="255"/>
      </w:pPr>
      <w:r>
        <w:rPr>
          <w:rFonts w:ascii="Calibri" w:hAnsi="Calibri"/>
          <w:b w:val="0"/>
          <w:caps w:val="0"/>
          <w:color w:val="161C24"/>
        </w:rPr>
        <w:t>traducao do conteudo tecnico para linguagem acessivel ao publico de gestao</w:t>
      </w:r>
    </w:p>
    <w:p>
      <w:pPr>
        <w:pStyle w:val="ListBullet"/>
        <w:spacing w:after="60"/>
        <w:ind w:left="255"/>
      </w:pPr>
      <w:r>
        <w:rPr>
          <w:rFonts w:ascii="Calibri" w:hAnsi="Calibri"/>
          <w:b w:val="0"/>
          <w:caps w:val="0"/>
          <w:color w:val="161C24"/>
        </w:rPr>
        <w:t>sintese do valor analitico, uso do artefato e leitura recomendada</w:t>
      </w:r>
    </w:p>
    <w:p>
      <w:pPr>
        <w:pStyle w:val="ListBullet"/>
        <w:spacing w:after="60"/>
        <w:ind w:left="255"/>
      </w:pPr>
      <w:r>
        <w:rPr>
          <w:rFonts w:ascii="Calibri" w:hAnsi="Calibri"/>
          <w:b w:val="0"/>
          <w:caps w:val="0"/>
          <w:color w:val="161C24"/>
        </w:rPr>
        <w:t>criacao de material executivo em HTML quando previsto no pacote contratado</w:t>
      </w:r>
    </w:p>
    <w:p>
      <w:pPr>
        <w:spacing w:before="180" w:after="60"/>
      </w:pPr>
      <w:r>
        <w:rPr>
          <w:rFonts w:ascii="Calibri" w:hAnsi="Calibri"/>
          <w:b/>
          <w:caps w:val="0"/>
          <w:color w:val="161C24"/>
          <w:sz w:val="21"/>
        </w:rPr>
        <w:t>4.3 Revisao</w:t>
      </w:r>
    </w:p>
    <w:p>
      <w:pPr>
        <w:pStyle w:val="ListBullet"/>
        <w:spacing w:after="60"/>
        <w:ind w:left="255"/>
      </w:pPr>
      <w:r>
        <w:rPr>
          <w:rFonts w:ascii="Calibri" w:hAnsi="Calibri"/>
          <w:b w:val="0"/>
          <w:caps w:val="0"/>
          <w:color w:val="161C24"/>
        </w:rPr>
        <w:t>revisao final da entrega</w:t>
      </w:r>
    </w:p>
    <w:p>
      <w:pPr>
        <w:pStyle w:val="ListBullet"/>
        <w:spacing w:after="60"/>
        <w:ind w:left="255"/>
      </w:pPr>
      <w:r>
        <w:rPr>
          <w:rFonts w:ascii="Calibri" w:hAnsi="Calibri"/>
          <w:b w:val="0"/>
          <w:caps w:val="0"/>
          <w:color w:val="161C24"/>
        </w:rPr>
        <w:t>ajustes finos dentro da quantidade de revisoes prevista no pacote contratado</w:t>
      </w:r>
    </w:p>
    <w:p>
      <w:pPr>
        <w:spacing w:before="320" w:after="140"/>
        <w:pBdr>
          <w:bottom w:val="single" w:sz="6" w:space="1" w:color="D6DEE6"/>
        </w:pBdr>
      </w:pPr>
      <w:r>
        <w:rPr>
          <w:rFonts w:ascii="Calibri" w:hAnsi="Calibri"/>
          <w:b/>
          <w:caps w:val="0"/>
          <w:color w:val="0C3D59"/>
          <w:sz w:val="24"/>
        </w:rPr>
        <w:t>5. Entregaveis</w:t>
      </w:r>
    </w:p>
    <w:p>
      <w:pPr>
        <w:pStyle w:val="ListBullet"/>
        <w:spacing w:after="60"/>
        <w:ind w:left="255"/>
      </w:pPr>
      <w:r>
        <w:rPr>
          <w:rFonts w:ascii="Calibri" w:hAnsi="Calibri"/>
          <w:b w:val="0"/>
          <w:caps w:val="0"/>
          <w:color w:val="161C24"/>
        </w:rPr>
        <w:t>documentacao tecnica estruturada do artefato analisado</w:t>
      </w:r>
    </w:p>
    <w:p>
      <w:pPr>
        <w:pStyle w:val="ListBullet"/>
        <w:spacing w:after="60"/>
        <w:ind w:left="255"/>
      </w:pPr>
      <w:r>
        <w:rPr>
          <w:rFonts w:ascii="Calibri" w:hAnsi="Calibri"/>
          <w:b w:val="0"/>
          <w:caps w:val="0"/>
          <w:color w:val="161C24"/>
        </w:rPr>
        <w:t>resumo executivo com leitura objetiva da entrega</w:t>
      </w:r>
    </w:p>
    <w:p>
      <w:pPr>
        <w:pStyle w:val="ListBullet"/>
        <w:spacing w:after="60"/>
        <w:ind w:left="255"/>
      </w:pPr>
      <w:r>
        <w:rPr>
          <w:rFonts w:ascii="Calibri" w:hAnsi="Calibri"/>
          <w:b w:val="0"/>
          <w:caps w:val="0"/>
          <w:color w:val="161C24"/>
        </w:rPr>
        <w:t>inventario tecnico com os principais componentes identificados</w:t>
      </w:r>
    </w:p>
    <w:p>
      <w:pPr>
        <w:pStyle w:val="ListBullet"/>
        <w:spacing w:after="60"/>
        <w:ind w:left="255"/>
      </w:pPr>
      <w:r>
        <w:rPr>
          <w:rFonts w:ascii="Calibri" w:hAnsi="Calibri"/>
          <w:b w:val="0"/>
          <w:caps w:val="0"/>
          <w:color w:val="161C24"/>
        </w:rPr>
        <w:t>registro do fluxo operacional do artefato</w:t>
      </w:r>
    </w:p>
    <w:p>
      <w:pPr>
        <w:pStyle w:val="ListBullet"/>
        <w:spacing w:after="60"/>
        <w:ind w:left="255"/>
      </w:pPr>
      <w:r>
        <w:rPr>
          <w:rFonts w:ascii="Calibri" w:hAnsi="Calibri"/>
          <w:b w:val="0"/>
          <w:caps w:val="0"/>
          <w:color w:val="161C24"/>
        </w:rPr>
        <w:t>apresentacao executiva em HTML quando prevista no pacote</w:t>
      </w:r>
    </w:p>
    <w:p>
      <w:pPr>
        <w:spacing w:before="320" w:after="140"/>
        <w:pBdr>
          <w:bottom w:val="single" w:sz="6" w:space="1" w:color="D6DEE6"/>
        </w:pBdr>
      </w:pPr>
      <w:r>
        <w:rPr>
          <w:rFonts w:ascii="Calibri" w:hAnsi="Calibri"/>
          <w:b/>
          <w:caps w:val="0"/>
          <w:color w:val="0C3D59"/>
          <w:sz w:val="24"/>
        </w:rPr>
        <w:t>6. Itens Nao Incluidos no Escopo</w:t>
      </w:r>
    </w:p>
    <w:p>
      <w:pPr>
        <w:spacing w:after="120" w:line="288" w:lineRule="auto"/>
        <w:jc w:val="both"/>
      </w:pPr>
      <w:r>
        <w:rPr>
          <w:rFonts w:ascii="Calibri" w:hAnsi="Calibri"/>
          <w:b w:val="0"/>
          <w:caps w:val="0"/>
          <w:color w:val="161C24"/>
        </w:rPr>
        <w:t>Para evitar ambiguidades, esta proposta nao inclui, salvo contratacao especifica:</w:t>
      </w:r>
    </w:p>
    <w:p>
      <w:pPr>
        <w:pStyle w:val="ListBullet"/>
        <w:spacing w:after="60"/>
        <w:ind w:left="255"/>
      </w:pPr>
      <w:r>
        <w:rPr>
          <w:rFonts w:ascii="Calibri" w:hAnsi="Calibri"/>
          <w:b w:val="0"/>
          <w:caps w:val="0"/>
          <w:color w:val="161C24"/>
        </w:rPr>
        <w:t>desenvolvimento do notebook ou dashboard</w:t>
      </w:r>
    </w:p>
    <w:p>
      <w:pPr>
        <w:pStyle w:val="ListBullet"/>
        <w:spacing w:after="60"/>
        <w:ind w:left="255"/>
      </w:pPr>
      <w:r>
        <w:rPr>
          <w:rFonts w:ascii="Calibri" w:hAnsi="Calibri"/>
          <w:b w:val="0"/>
          <w:caps w:val="0"/>
          <w:color w:val="161C24"/>
        </w:rPr>
        <w:t>correcao de bugs ou refatoracao do projeto</w:t>
      </w:r>
    </w:p>
    <w:p>
      <w:pPr>
        <w:pStyle w:val="ListBullet"/>
        <w:spacing w:after="60"/>
        <w:ind w:left="255"/>
      </w:pPr>
      <w:r>
        <w:rPr>
          <w:rFonts w:ascii="Calibri" w:hAnsi="Calibri"/>
          <w:b w:val="0"/>
          <w:caps w:val="0"/>
          <w:color w:val="161C24"/>
        </w:rPr>
        <w:t>alteracao de regras de negocio ja implementadas</w:t>
      </w:r>
    </w:p>
    <w:p>
      <w:pPr>
        <w:pStyle w:val="ListBullet"/>
        <w:spacing w:after="60"/>
        <w:ind w:left="255"/>
      </w:pPr>
      <w:r>
        <w:rPr>
          <w:rFonts w:ascii="Calibri" w:hAnsi="Calibri"/>
          <w:b w:val="0"/>
          <w:caps w:val="0"/>
          <w:color w:val="161C24"/>
        </w:rPr>
        <w:t>criacao de novas analises alem do material recebido</w:t>
      </w:r>
    </w:p>
    <w:p>
      <w:pPr>
        <w:pStyle w:val="ListBullet"/>
        <w:spacing w:after="60"/>
        <w:ind w:left="255"/>
      </w:pPr>
      <w:r>
        <w:rPr>
          <w:rFonts w:ascii="Calibri" w:hAnsi="Calibri"/>
          <w:b w:val="0"/>
          <w:caps w:val="0"/>
          <w:color w:val="161C24"/>
        </w:rPr>
        <w:t>participacao em reunioes extras nao previstas</w:t>
      </w:r>
    </w:p>
    <w:p>
      <w:pPr>
        <w:pStyle w:val="ListBullet"/>
        <w:spacing w:after="60"/>
        <w:ind w:left="255"/>
      </w:pPr>
      <w:r>
        <w:rPr>
          <w:rFonts w:ascii="Calibri" w:hAnsi="Calibri"/>
          <w:b w:val="0"/>
          <w:caps w:val="0"/>
          <w:color w:val="161C24"/>
        </w:rPr>
        <w:t>sustentacao continua ou suporte recorrente apos entrega</w:t>
      </w:r>
    </w:p>
    <w:p>
      <w:pPr>
        <w:pStyle w:val="ListBullet"/>
        <w:spacing w:after="60"/>
        <w:ind w:left="255"/>
      </w:pPr>
      <w:r>
        <w:rPr>
          <w:rFonts w:ascii="Calibri" w:hAnsi="Calibri"/>
          <w:b w:val="0"/>
          <w:caps w:val="0"/>
          <w:color w:val="161C24"/>
        </w:rPr>
        <w:t>auditoria completa do ambiente, dados ou arquitetura da solucao</w:t>
      </w:r>
    </w:p>
    <w:p>
      <w:pPr>
        <w:spacing w:after="120" w:line="288" w:lineRule="auto"/>
        <w:jc w:val="both"/>
      </w:pPr>
      <w:r>
        <w:rPr>
          <w:rFonts w:ascii="Calibri" w:hAnsi="Calibri"/>
          <w:b w:val="0"/>
          <w:caps w:val="0"/>
          <w:color w:val="161C24"/>
        </w:rPr>
        <w:t>Caso haja necessidade de atividades adicionais, estas poderao ser avaliadas e orcadas separadamente.</w:t>
      </w:r>
    </w:p>
    <w:p>
      <w:pPr>
        <w:spacing w:before="320" w:after="140"/>
        <w:pBdr>
          <w:bottom w:val="single" w:sz="6" w:space="1" w:color="D6DEE6"/>
        </w:pBdr>
      </w:pPr>
      <w:r>
        <w:rPr>
          <w:rFonts w:ascii="Calibri" w:hAnsi="Calibri"/>
          <w:b/>
          <w:caps w:val="0"/>
          <w:color w:val="0C3D59"/>
          <w:sz w:val="24"/>
        </w:rPr>
        <w:t>7. Metodologia de Trabalho</w:t>
      </w:r>
    </w:p>
    <w:p>
      <w:pPr>
        <w:pStyle w:val="ListNumber"/>
        <w:spacing w:after="80"/>
      </w:pPr>
      <w:r>
        <w:rPr>
          <w:rFonts w:ascii="Calibri" w:hAnsi="Calibri"/>
          <w:b/>
          <w:caps w:val="0"/>
          <w:color w:val="161C24"/>
        </w:rPr>
        <w:t xml:space="preserve">Recebimento do material </w:t>
      </w:r>
      <w:r>
        <w:rPr>
          <w:rFonts w:ascii="Calibri" w:hAnsi="Calibri"/>
          <w:b w:val="0"/>
          <w:caps w:val="0"/>
          <w:color w:val="161C24"/>
        </w:rPr>
        <w:t>- Coleta dos arquivos, contexto inicial e confirmacao do tipo de artefato a ser analisado.</w:t>
      </w:r>
    </w:p>
    <w:p>
      <w:pPr>
        <w:pStyle w:val="ListNumber"/>
        <w:spacing w:after="80"/>
      </w:pPr>
      <w:r>
        <w:rPr>
          <w:rFonts w:ascii="Calibri" w:hAnsi="Calibri"/>
          <w:b/>
          <w:caps w:val="0"/>
          <w:color w:val="161C24"/>
        </w:rPr>
        <w:t xml:space="preserve">Leitura estrutural </w:t>
      </w:r>
      <w:r>
        <w:rPr>
          <w:rFonts w:ascii="Calibri" w:hAnsi="Calibri"/>
          <w:b w:val="0"/>
          <w:caps w:val="0"/>
          <w:color w:val="161C24"/>
        </w:rPr>
        <w:t>- Analise do artefato para identificar composicao, fluxo, dependencias, regras e pontos de atencao.</w:t>
      </w:r>
    </w:p>
    <w:p>
      <w:pPr>
        <w:pStyle w:val="ListNumber"/>
        <w:spacing w:after="80"/>
      </w:pPr>
      <w:r>
        <w:rPr>
          <w:rFonts w:ascii="Calibri" w:hAnsi="Calibri"/>
          <w:b/>
          <w:caps w:val="0"/>
          <w:color w:val="161C24"/>
        </w:rPr>
        <w:t xml:space="preserve">Inventario tecnico </w:t>
      </w:r>
      <w:r>
        <w:rPr>
          <w:rFonts w:ascii="Calibri" w:hAnsi="Calibri"/>
          <w:b w:val="0"/>
          <w:caps w:val="0"/>
          <w:color w:val="161C24"/>
        </w:rPr>
        <w:t>- Catalogacao dos componentes relevantes em formato documental claro e reutilizavel.</w:t>
      </w:r>
    </w:p>
    <w:p>
      <w:pPr>
        <w:pStyle w:val="ListNumber"/>
        <w:spacing w:after="80"/>
      </w:pPr>
      <w:r>
        <w:rPr>
          <w:rFonts w:ascii="Calibri" w:hAnsi="Calibri"/>
          <w:b/>
          <w:caps w:val="0"/>
          <w:color w:val="161C24"/>
        </w:rPr>
        <w:t xml:space="preserve">Consolidacao executiva </w:t>
      </w:r>
      <w:r>
        <w:rPr>
          <w:rFonts w:ascii="Calibri" w:hAnsi="Calibri"/>
          <w:b w:val="0"/>
          <w:caps w:val="0"/>
          <w:color w:val="161C24"/>
        </w:rPr>
        <w:t>- Sintese do conteudo para leitura gerencial, apresentacao ou repasse interno quando aplicavel.</w:t>
      </w:r>
    </w:p>
    <w:p>
      <w:pPr>
        <w:pStyle w:val="ListNumber"/>
        <w:spacing w:after="80"/>
      </w:pPr>
      <w:r>
        <w:rPr>
          <w:rFonts w:ascii="Calibri" w:hAnsi="Calibri"/>
          <w:b/>
          <w:caps w:val="0"/>
          <w:color w:val="161C24"/>
        </w:rPr>
        <w:t xml:space="preserve">Entrega e ajustes </w:t>
      </w:r>
      <w:r>
        <w:rPr>
          <w:rFonts w:ascii="Calibri" w:hAnsi="Calibri"/>
          <w:b w:val="0"/>
          <w:caps w:val="0"/>
          <w:color w:val="161C24"/>
        </w:rPr>
        <w:t>- Compartilhamento do material final e refinamentos previstos dentro do pacote contratado.</w:t>
      </w:r>
    </w:p>
    <w:p>
      <w:pPr>
        <w:spacing w:before="320" w:after="140"/>
        <w:pBdr>
          <w:bottom w:val="single" w:sz="6" w:space="1" w:color="D6DEE6"/>
        </w:pBdr>
      </w:pPr>
      <w:r>
        <w:rPr>
          <w:rFonts w:ascii="Calibri" w:hAnsi="Calibri"/>
          <w:b/>
          <w:caps w:val="0"/>
          <w:color w:val="0C3D59"/>
          <w:sz w:val="24"/>
        </w:rPr>
        <w:t>8. Prazo Estimado</w:t>
      </w:r>
    </w:p>
    <w:p>
      <w:pPr>
        <w:spacing w:after="120" w:line="288" w:lineRule="auto"/>
        <w:jc w:val="both"/>
      </w:pPr>
      <w:r>
        <w:rPr>
          <w:rFonts w:ascii="Calibri" w:hAnsi="Calibri"/>
          <w:b w:val="0"/>
          <w:caps w:val="0"/>
          <w:color w:val="161C24"/>
        </w:rPr>
        <w:t>O prazo varia conforme a complexidade do material recebido.</w:t>
      </w:r>
    </w:p>
    <w:p>
      <w:pPr>
        <w:pStyle w:val="ListBullet"/>
        <w:spacing w:after="60"/>
        <w:ind w:left="255"/>
      </w:pPr>
      <w:r>
        <w:rPr>
          <w:rFonts w:ascii="Calibri" w:hAnsi="Calibri"/>
          <w:b w:val="0"/>
          <w:caps w:val="0"/>
          <w:color w:val="161C24"/>
        </w:rPr>
        <w:t>artefatos simples: 1 a 2 dias uteis</w:t>
      </w:r>
    </w:p>
    <w:p>
      <w:pPr>
        <w:pStyle w:val="ListBullet"/>
        <w:spacing w:after="60"/>
        <w:ind w:left="255"/>
      </w:pPr>
      <w:r>
        <w:rPr>
          <w:rFonts w:ascii="Calibri" w:hAnsi="Calibri"/>
          <w:b w:val="0"/>
          <w:caps w:val="0"/>
          <w:color w:val="161C24"/>
        </w:rPr>
        <w:t>artefatos com maior densidade tecnica: 2 a 4 dias uteis</w:t>
      </w:r>
    </w:p>
    <w:p>
      <w:pPr>
        <w:pStyle w:val="ListBullet"/>
        <w:spacing w:after="60"/>
        <w:ind w:left="255"/>
      </w:pPr>
      <w:r>
        <w:rPr>
          <w:rFonts w:ascii="Calibri" w:hAnsi="Calibri"/>
          <w:b w:val="0"/>
          <w:caps w:val="0"/>
          <w:color w:val="161C24"/>
        </w:rPr>
        <w:t>projetos com multiplos arquivos ou maior profundidade: prazo sob analise</w:t>
      </w:r>
    </w:p>
    <w:p>
      <w:pPr>
        <w:spacing w:after="120" w:line="288" w:lineRule="auto"/>
        <w:jc w:val="both"/>
      </w:pPr>
      <w:r>
        <w:rPr>
          <w:rFonts w:ascii="Calibri" w:hAnsi="Calibri"/>
          <w:b w:val="0"/>
          <w:caps w:val="0"/>
          <w:color w:val="161C24"/>
        </w:rPr>
        <w:t>O prazo comeca a contar a partir do recebimento integral dos arquivos, alinhamento inicial necessario e confirmacao do aceite da proposta.</w:t>
      </w:r>
    </w:p>
    <w:p>
      <w:pPr>
        <w:spacing w:before="320" w:after="140"/>
        <w:pBdr>
          <w:bottom w:val="single" w:sz="6" w:space="1" w:color="D6DEE6"/>
        </w:pBdr>
      </w:pPr>
      <w:r>
        <w:rPr>
          <w:rFonts w:ascii="Calibri" w:hAnsi="Calibri"/>
          <w:b/>
          <w:caps w:val="0"/>
          <w:color w:val="0C3D59"/>
          <w:sz w:val="24"/>
        </w:rPr>
        <w:t>9. Investimento</w:t>
      </w:r>
    </w:p>
    <w:p>
      <w:pPr>
        <w:spacing w:after="120" w:line="288" w:lineRule="auto"/>
        <w:jc w:val="both"/>
      </w:pPr>
      <w:r>
        <w:rPr>
          <w:rFonts w:ascii="Calibri" w:hAnsi="Calibri"/>
          <w:b w:val="0"/>
          <w:caps w:val="0"/>
          <w:color w:val="161C24"/>
        </w:rPr>
        <w:t>A tabela abaixo apresenta as faixas de contratacao disponiveis. O pacote recomendado e o investimento final proposto aparecem destacados para facilitar avaliacao comercial e tomada de decisao.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2041"/>
        <w:gridCol w:w="4592"/>
        <w:gridCol w:w="1984"/>
      </w:tblGrid>
      <w:tr>
        <w:tc>
          <w:tcPr>
            <w:tcW w:type="dxa" w:w="2450"/>
            <w:shd w:fill="16242F"/>
            <w:tcBorders>
              <w:top w:val="single" w:sz="10" w:space="0" w:color="243745"/>
              <w:left w:val="single" w:sz="10" w:space="0" w:color="243745"/>
              <w:bottom w:val="single" w:sz="10" w:space="0" w:color="243745"/>
              <w:right w:val="single" w:sz="10" w:space="0" w:color="24374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aps w:val="0"/>
                <w:color w:val="FFFFFF"/>
                <w:sz w:val="19"/>
              </w:rPr>
              <w:t>Pacote</w:t>
            </w:r>
          </w:p>
        </w:tc>
        <w:tc>
          <w:tcPr>
            <w:tcW w:type="dxa" w:w="2450"/>
            <w:shd w:fill="16242F"/>
            <w:tcBorders>
              <w:top w:val="single" w:sz="10" w:space="0" w:color="243745"/>
              <w:left w:val="single" w:sz="10" w:space="0" w:color="243745"/>
              <w:bottom w:val="single" w:sz="10" w:space="0" w:color="243745"/>
              <w:right w:val="single" w:sz="10" w:space="0" w:color="24374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aps w:val="0"/>
                <w:color w:val="FFFFFF"/>
                <w:sz w:val="19"/>
              </w:rPr>
              <w:t>Categoria</w:t>
            </w:r>
          </w:p>
        </w:tc>
        <w:tc>
          <w:tcPr>
            <w:tcW w:type="dxa" w:w="2450"/>
            <w:shd w:fill="16242F"/>
            <w:tcBorders>
              <w:top w:val="single" w:sz="10" w:space="0" w:color="243745"/>
              <w:left w:val="single" w:sz="10" w:space="0" w:color="243745"/>
              <w:bottom w:val="single" w:sz="10" w:space="0" w:color="243745"/>
              <w:right w:val="single" w:sz="10" w:space="0" w:color="24374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aps w:val="0"/>
                <w:color w:val="FFFFFF"/>
                <w:sz w:val="19"/>
              </w:rPr>
              <w:t>Descricao</w:t>
            </w:r>
          </w:p>
        </w:tc>
        <w:tc>
          <w:tcPr>
            <w:tcW w:type="dxa" w:w="2450"/>
            <w:shd w:fill="16242F"/>
            <w:tcBorders>
              <w:top w:val="single" w:sz="10" w:space="0" w:color="243745"/>
              <w:left w:val="single" w:sz="10" w:space="0" w:color="243745"/>
              <w:bottom w:val="single" w:sz="10" w:space="0" w:color="243745"/>
              <w:right w:val="single" w:sz="10" w:space="0" w:color="24374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aps w:val="0"/>
                <w:color w:val="FFFFFF"/>
                <w:sz w:val="19"/>
              </w:rPr>
              <w:t>Investimento</w:t>
            </w:r>
          </w:p>
        </w:tc>
      </w:tr>
      <w:tr>
        <w:tc>
          <w:tcPr>
            <w:tcW w:type="dxa" w:w="1247"/>
            <w:shd w:fill="FFFFFF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/>
                <w:caps w:val="0"/>
                <w:color w:val="161C24"/>
                <w:sz w:val="19"/>
              </w:rPr>
              <w:t>Pacote 1</w:t>
            </w:r>
          </w:p>
        </w:tc>
        <w:tc>
          <w:tcPr>
            <w:tcW w:type="dxa" w:w="2041"/>
            <w:shd w:fill="FFFFFF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/>
                <w:caps w:val="0"/>
                <w:color w:val="161C24"/>
                <w:sz w:val="20"/>
              </w:rPr>
              <w:t>Essencial Tecnico</w:t>
            </w:r>
          </w:p>
        </w:tc>
        <w:tc>
          <w:tcPr>
            <w:tcW w:type="dxa" w:w="4592"/>
            <w:shd w:fill="FFFFFF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aps w:val="0"/>
                <w:color w:val="161C24"/>
                <w:sz w:val="19"/>
              </w:rPr>
              <w:t>Documentacao tecnica objetiva para artefatos menores, com foco em estrutura, fluxo e componentes principais</w:t>
            </w:r>
          </w:p>
        </w:tc>
        <w:tc>
          <w:tcPr>
            <w:tcW w:type="dxa" w:w="1984"/>
            <w:shd w:fill="FFFFFF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aps w:val="0"/>
                <w:color w:val="161C24"/>
                <w:sz w:val="20"/>
              </w:rPr>
              <w:t>R$ 290 a R$ 450</w:t>
            </w:r>
          </w:p>
        </w:tc>
      </w:tr>
      <w:tr>
        <w:tc>
          <w:tcPr>
            <w:tcW w:type="dxa" w:w="1247"/>
            <w:shd w:fill="F7F9FB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/>
                <w:caps w:val="0"/>
                <w:color w:val="161C24"/>
                <w:sz w:val="19"/>
              </w:rPr>
              <w:t>Pacote 2</w:t>
            </w:r>
          </w:p>
        </w:tc>
        <w:tc>
          <w:tcPr>
            <w:tcW w:type="dxa" w:w="2041"/>
            <w:shd w:fill="F7F9FB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/>
                <w:caps w:val="0"/>
                <w:color w:val="161C24"/>
                <w:sz w:val="20"/>
              </w:rPr>
              <w:t>Tecnico Avancado</w:t>
            </w:r>
          </w:p>
        </w:tc>
        <w:tc>
          <w:tcPr>
            <w:tcW w:type="dxa" w:w="4592"/>
            <w:shd w:fill="F7F9FB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aps w:val="0"/>
                <w:color w:val="161C24"/>
                <w:sz w:val="19"/>
              </w:rPr>
              <w:t>Documentacao tecnica aprofundada com inventario estrutural, dependencias e maior nivel de rastreabilidade</w:t>
            </w:r>
          </w:p>
        </w:tc>
        <w:tc>
          <w:tcPr>
            <w:tcW w:type="dxa" w:w="1984"/>
            <w:shd w:fill="F7F9FB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aps w:val="0"/>
                <w:color w:val="161C24"/>
                <w:sz w:val="20"/>
              </w:rPr>
              <w:t>R$ 590 a R$ 900</w:t>
            </w:r>
          </w:p>
        </w:tc>
      </w:tr>
      <w:tr>
        <w:tc>
          <w:tcPr>
            <w:tcW w:type="dxa" w:w="1247"/>
            <w:shd w:fill="E7F0F6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/>
                <w:caps w:val="0"/>
                <w:color w:val="0C3D59"/>
                <w:sz w:val="19"/>
              </w:rPr>
              <w:t>Pacote 3</w:t>
            </w:r>
          </w:p>
        </w:tc>
        <w:tc>
          <w:tcPr>
            <w:tcW w:type="dxa" w:w="2041"/>
            <w:shd w:fill="E7F0F6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/>
                <w:caps w:val="0"/>
                <w:color w:val="161C24"/>
                <w:sz w:val="20"/>
              </w:rPr>
              <w:t>Executivo</w:t>
            </w:r>
          </w:p>
        </w:tc>
        <w:tc>
          <w:tcPr>
            <w:tcW w:type="dxa" w:w="4592"/>
            <w:shd w:fill="E7F0F6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aps w:val="0"/>
                <w:color w:val="161C24"/>
                <w:sz w:val="19"/>
              </w:rPr>
              <w:t>Documentacao tecnica estruturada + camada executiva para leitura gerencial, apresentacao comercial ou uso com cliente final</w:t>
            </w:r>
          </w:p>
        </w:tc>
        <w:tc>
          <w:tcPr>
            <w:tcW w:type="dxa" w:w="1984"/>
            <w:shd w:fill="E7F0F6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aps w:val="0"/>
                <w:color w:val="0C3D59"/>
                <w:sz w:val="20"/>
              </w:rPr>
              <w:t>R$ 890 a R$ 1.500</w:t>
            </w:r>
          </w:p>
        </w:tc>
      </w:tr>
      <w:tr>
        <w:tc>
          <w:tcPr>
            <w:tcW w:type="dxa" w:w="1247"/>
            <w:shd w:fill="F7F9FB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/>
                <w:caps w:val="0"/>
                <w:color w:val="161C24"/>
                <w:sz w:val="19"/>
              </w:rPr>
              <w:t>Pacote 4</w:t>
            </w:r>
          </w:p>
        </w:tc>
        <w:tc>
          <w:tcPr>
            <w:tcW w:type="dxa" w:w="2041"/>
            <w:shd w:fill="F7F9FB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/>
                <w:caps w:val="0"/>
                <w:color w:val="161C24"/>
                <w:sz w:val="20"/>
              </w:rPr>
              <w:t>Projeto Sob Medida</w:t>
            </w:r>
          </w:p>
        </w:tc>
        <w:tc>
          <w:tcPr>
            <w:tcW w:type="dxa" w:w="4592"/>
            <w:shd w:fill="F7F9FB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aps w:val="0"/>
                <w:color w:val="161C24"/>
                <w:sz w:val="19"/>
              </w:rPr>
              <w:t>Projetos com multiplos artefatos, maior profundidade tecnica ou necessidade de organizacao documental ampliada</w:t>
            </w:r>
          </w:p>
        </w:tc>
        <w:tc>
          <w:tcPr>
            <w:tcW w:type="dxa" w:w="1984"/>
            <w:shd w:fill="F7F9FB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aps w:val="0"/>
                <w:color w:val="161C24"/>
                <w:sz w:val="20"/>
              </w:rPr>
              <w:t>A partir de R$ 1.290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5556"/>
      </w:tblGrid>
      <w:tr>
        <w:tc>
          <w:tcPr>
            <w:tcW w:type="dxa" w:w="4901"/>
            <w:shd w:fill="16242F"/>
            <w:tcBorders>
              <w:top w:val="single" w:sz="10" w:space="0" w:color="243745"/>
              <w:left w:val="single" w:sz="10" w:space="0" w:color="243745"/>
              <w:bottom w:val="single" w:sz="10" w:space="0" w:color="243745"/>
              <w:right w:val="single" w:sz="10" w:space="0" w:color="243745"/>
            </w:tcBorders>
          </w:tcPr>
          <w:p>
            <w:pPr>
              <w:spacing w:after="100"/>
            </w:pPr>
            <w:r>
              <w:rPr>
                <w:rFonts w:ascii="Calibri" w:hAnsi="Calibri"/>
                <w:b/>
                <w:caps/>
                <w:color w:val="FFFFFF"/>
                <w:sz w:val="17"/>
              </w:rPr>
              <w:t>Pacote recomendado</w:t>
              <w:br/>
            </w:r>
            <w:r>
              <w:rPr>
                <w:rFonts w:ascii="Calibri" w:hAnsi="Calibri"/>
                <w:b/>
                <w:caps w:val="0"/>
                <w:color w:val="FFFFFF"/>
                <w:sz w:val="24"/>
              </w:rPr>
              <w:t>Pacote 3 | Executivo</w:t>
            </w:r>
          </w:p>
        </w:tc>
        <w:tc>
          <w:tcPr>
            <w:tcW w:type="dxa" w:w="4901"/>
            <w:shd w:fill="EEF3F6"/>
            <w:tcBorders>
              <w:top w:val="single" w:sz="10" w:space="0" w:color="D2DBE4"/>
              <w:left w:val="single" w:sz="10" w:space="0" w:color="D2DBE4"/>
              <w:bottom w:val="single" w:sz="10" w:space="0" w:color="D2DBE4"/>
              <w:right w:val="single" w:sz="10" w:space="0" w:color="D2DBE4"/>
            </w:tcBorders>
          </w:tcPr>
          <w:p>
            <w:pPr>
              <w:spacing w:after="100"/>
            </w:pPr>
            <w:r>
              <w:rPr>
                <w:rFonts w:ascii="Calibri" w:hAnsi="Calibri"/>
                <w:b/>
                <w:caps/>
                <w:color w:val="6C757D"/>
                <w:sz w:val="17"/>
              </w:rPr>
              <w:t>Investimento final proposto</w:t>
              <w:br/>
            </w:r>
            <w:r>
              <w:rPr>
                <w:rFonts w:ascii="Calibri" w:hAnsi="Calibri"/>
                <w:b/>
                <w:caps w:val="0"/>
                <w:color w:val="0C3D59"/>
                <w:sz w:val="26"/>
              </w:rPr>
              <w:t>R$ 1.250,00</w:t>
            </w:r>
          </w:p>
        </w:tc>
      </w:tr>
    </w:tbl>
    <w:p/>
    <w:p>
      <w:pPr>
        <w:spacing w:before="320" w:after="140"/>
        <w:pBdr>
          <w:bottom w:val="single" w:sz="6" w:space="1" w:color="D6DEE6"/>
        </w:pBdr>
      </w:pPr>
      <w:r>
        <w:rPr>
          <w:rFonts w:ascii="Calibri" w:hAnsi="Calibri"/>
          <w:b/>
          <w:caps w:val="0"/>
          <w:color w:val="0C3D59"/>
          <w:sz w:val="24"/>
        </w:rPr>
        <w:t>10. Condicoes Comerciais</w:t>
      </w:r>
    </w:p>
    <w:p>
      <w:pPr>
        <w:pStyle w:val="ListBullet"/>
        <w:spacing w:after="60"/>
        <w:ind w:left="255"/>
      </w:pPr>
      <w:r>
        <w:rPr>
          <w:rFonts w:ascii="Calibri" w:hAnsi="Calibri"/>
          <w:b w:val="0"/>
          <w:caps w:val="0"/>
          <w:color w:val="161C24"/>
        </w:rPr>
        <w:t>pagamento via PIX ou outro meio previamente acordado</w:t>
      </w:r>
    </w:p>
    <w:p>
      <w:pPr>
        <w:pStyle w:val="ListBullet"/>
        <w:spacing w:after="60"/>
        <w:ind w:left="255"/>
      </w:pPr>
      <w:r>
        <w:rPr>
          <w:rFonts w:ascii="Calibri" w:hAnsi="Calibri"/>
          <w:b w:val="0"/>
          <w:caps w:val="0"/>
          <w:color w:val="161C24"/>
        </w:rPr>
        <w:t>sugestao de condicao: 50% no aceite e 50% na entrega</w:t>
      </w:r>
    </w:p>
    <w:p>
      <w:pPr>
        <w:pStyle w:val="ListBullet"/>
        <w:spacing w:after="60"/>
        <w:ind w:left="255"/>
      </w:pPr>
      <w:r>
        <w:rPr>
          <w:rFonts w:ascii="Calibri" w:hAnsi="Calibri"/>
          <w:b w:val="0"/>
          <w:caps w:val="0"/>
          <w:color w:val="161C24"/>
        </w:rPr>
        <w:t>a proposta tem validade de 7 dias corridos</w:t>
      </w:r>
    </w:p>
    <w:p>
      <w:pPr>
        <w:pStyle w:val="ListBullet"/>
        <w:spacing w:after="60"/>
        <w:ind w:left="255"/>
      </w:pPr>
      <w:r>
        <w:rPr>
          <w:rFonts w:ascii="Calibri" w:hAnsi="Calibri"/>
          <w:b w:val="0"/>
          <w:caps w:val="0"/>
          <w:color w:val="161C24"/>
        </w:rPr>
        <w:t>revisoes adicionais fora do pacote poderao ser orcadas separadamente</w:t>
      </w:r>
    </w:p>
    <w:p>
      <w:pPr>
        <w:pStyle w:val="ListBullet"/>
        <w:spacing w:after="60"/>
        <w:ind w:left="255"/>
      </w:pPr>
      <w:r>
        <w:rPr>
          <w:rFonts w:ascii="Calibri" w:hAnsi="Calibri"/>
          <w:b w:val="0"/>
          <w:caps w:val="0"/>
          <w:color w:val="161C24"/>
        </w:rPr>
        <w:t>demandas extras ou alteracoes de escopo poderao impactar prazo e investimento</w:t>
      </w:r>
    </w:p>
    <w:p>
      <w:pPr>
        <w:spacing w:before="320" w:after="140"/>
        <w:pBdr>
          <w:bottom w:val="single" w:sz="6" w:space="1" w:color="D6DEE6"/>
        </w:pBdr>
      </w:pPr>
      <w:r>
        <w:rPr>
          <w:rFonts w:ascii="Calibri" w:hAnsi="Calibri"/>
          <w:b/>
          <w:caps w:val="0"/>
          <w:color w:val="0C3D59"/>
          <w:sz w:val="24"/>
        </w:rPr>
        <w:t>11. Premissas</w:t>
      </w:r>
    </w:p>
    <w:p>
      <w:pPr>
        <w:pStyle w:val="ListBullet"/>
        <w:spacing w:after="60"/>
        <w:ind w:left="255"/>
      </w:pPr>
      <w:r>
        <w:rPr>
          <w:rFonts w:ascii="Calibri" w:hAnsi="Calibri"/>
          <w:b w:val="0"/>
          <w:caps w:val="0"/>
          <w:color w:val="161C24"/>
        </w:rPr>
        <w:t>os arquivos serao enviados de forma integra e acessivel</w:t>
      </w:r>
    </w:p>
    <w:p>
      <w:pPr>
        <w:pStyle w:val="ListBullet"/>
        <w:spacing w:after="60"/>
        <w:ind w:left="255"/>
      </w:pPr>
      <w:r>
        <w:rPr>
          <w:rFonts w:ascii="Calibri" w:hAnsi="Calibri"/>
          <w:b w:val="0"/>
          <w:caps w:val="0"/>
          <w:color w:val="161C24"/>
        </w:rPr>
        <w:t>o cliente fornecera contexto minimo quando necessario</w:t>
      </w:r>
    </w:p>
    <w:p>
      <w:pPr>
        <w:pStyle w:val="ListBullet"/>
        <w:spacing w:after="60"/>
        <w:ind w:left="255"/>
      </w:pPr>
      <w:r>
        <w:rPr>
          <w:rFonts w:ascii="Calibri" w:hAnsi="Calibri"/>
          <w:b w:val="0"/>
          <w:caps w:val="0"/>
          <w:color w:val="161C24"/>
        </w:rPr>
        <w:t>o servico sera realizado com base nos artefatos disponibilizados</w:t>
      </w:r>
    </w:p>
    <w:p>
      <w:pPr>
        <w:pStyle w:val="ListBullet"/>
        <w:spacing w:after="60"/>
        <w:ind w:left="255"/>
      </w:pPr>
      <w:r>
        <w:rPr>
          <w:rFonts w:ascii="Calibri" w:hAnsi="Calibri"/>
          <w:b w:val="0"/>
          <w:caps w:val="0"/>
          <w:color w:val="161C24"/>
        </w:rPr>
        <w:t>eventuais informacoes ausentes podem limitar a profundidade da documentacao</w:t>
      </w:r>
    </w:p>
    <w:p>
      <w:pPr>
        <w:pStyle w:val="ListBullet"/>
        <w:spacing w:after="60"/>
        <w:ind w:left="255"/>
      </w:pPr>
      <w:r>
        <w:rPr>
          <w:rFonts w:ascii="Calibri" w:hAnsi="Calibri"/>
          <w:b w:val="0"/>
          <w:caps w:val="0"/>
          <w:color w:val="161C24"/>
        </w:rPr>
        <w:t>o material produzido tem finalidade documental e executiva, nao substituindo governanca interna, homologacao tecnica ou aprovacao formal de arquitetura</w:t>
      </w:r>
    </w:p>
    <w:p>
      <w:pPr>
        <w:spacing w:before="320" w:after="140"/>
        <w:pBdr>
          <w:bottom w:val="single" w:sz="6" w:space="1" w:color="D6DEE6"/>
        </w:pBdr>
      </w:pPr>
      <w:r>
        <w:rPr>
          <w:rFonts w:ascii="Calibri" w:hAnsi="Calibri"/>
          <w:b/>
          <w:caps w:val="0"/>
          <w:color w:val="0C3D59"/>
          <w:sz w:val="24"/>
        </w:rPr>
        <w:t>12. Diferenciais da Entrega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638"/>
            <w:shd w:fill="F4F7F9"/>
            <w:tcBorders>
              <w:top w:val="single" w:sz="10" w:space="0" w:color="D0D7E2"/>
              <w:left w:val="single" w:sz="10" w:space="0" w:color="D0D7E2"/>
              <w:bottom w:val="single" w:sz="10" w:space="0" w:color="D0D7E2"/>
              <w:right w:val="single" w:sz="10" w:space="0" w:color="D0D7E2"/>
            </w:tcBorders>
          </w:tcPr>
          <w:p>
            <w:pPr>
              <w:spacing w:after="100"/>
            </w:pPr>
            <w:r>
              <w:rPr>
                <w:rFonts w:ascii="Calibri" w:hAnsi="Calibri"/>
                <w:b/>
                <w:caps w:val="0"/>
                <w:color w:val="0C3D59"/>
                <w:sz w:val="22"/>
              </w:rPr>
              <w:t>Destaques do servico</w:t>
            </w:r>
          </w:p>
          <w:p>
            <w:pPr>
              <w:pStyle w:val="ListBullet"/>
              <w:spacing w:after="40"/>
            </w:pPr>
            <w:r>
              <w:rPr>
                <w:rFonts w:ascii="Calibri" w:hAnsi="Calibri"/>
                <w:b w:val="0"/>
                <w:caps w:val="0"/>
                <w:color w:val="161C24"/>
              </w:rPr>
              <w:t>estrutura documental com padrao profissional</w:t>
            </w:r>
          </w:p>
          <w:p>
            <w:pPr>
              <w:pStyle w:val="ListBullet"/>
              <w:spacing w:after="40"/>
            </w:pPr>
            <w:r>
              <w:rPr>
                <w:rFonts w:ascii="Calibri" w:hAnsi="Calibri"/>
                <w:b w:val="0"/>
                <w:caps w:val="0"/>
                <w:color w:val="161C24"/>
              </w:rPr>
              <w:t>inventario tecnico do artefato analisado</w:t>
            </w:r>
          </w:p>
          <w:p>
            <w:pPr>
              <w:pStyle w:val="ListBullet"/>
              <w:spacing w:after="40"/>
            </w:pPr>
            <w:r>
              <w:rPr>
                <w:rFonts w:ascii="Calibri" w:hAnsi="Calibri"/>
                <w:b w:val="0"/>
                <w:caps w:val="0"/>
                <w:color w:val="161C24"/>
              </w:rPr>
              <w:t>rastreabilidade de fluxo, componentes e dependencias</w:t>
            </w:r>
          </w:p>
          <w:p>
            <w:pPr>
              <w:pStyle w:val="ListBullet"/>
              <w:spacing w:after="40"/>
            </w:pPr>
            <w:r>
              <w:rPr>
                <w:rFonts w:ascii="Calibri" w:hAnsi="Calibri"/>
                <w:b w:val="0"/>
                <w:caps w:val="0"/>
                <w:color w:val="161C24"/>
              </w:rPr>
              <w:t>clareza para publicos tecnicos e nao tecnicos</w:t>
            </w:r>
          </w:p>
          <w:p>
            <w:pPr>
              <w:pStyle w:val="ListBullet"/>
              <w:spacing w:after="40"/>
            </w:pPr>
            <w:r>
              <w:rPr>
                <w:rFonts w:ascii="Calibri" w:hAnsi="Calibri"/>
                <w:b w:val="0"/>
                <w:caps w:val="0"/>
                <w:color w:val="161C24"/>
              </w:rPr>
              <w:t>padronizacao visual e organizacional da entrega</w:t>
            </w:r>
          </w:p>
          <w:p>
            <w:pPr>
              <w:pStyle w:val="ListBullet"/>
              <w:spacing w:after="40"/>
            </w:pPr>
            <w:r>
              <w:rPr>
                <w:rFonts w:ascii="Calibri" w:hAnsi="Calibri"/>
                <w:b w:val="0"/>
                <w:caps w:val="0"/>
                <w:color w:val="161C24"/>
              </w:rPr>
              <w:t>material pronto para compartilhamento interno, apresentacao externa ou repasse entre times</w:t>
            </w:r>
          </w:p>
        </w:tc>
      </w:tr>
    </w:tbl>
    <w:p/>
    <w:p>
      <w:pPr>
        <w:spacing w:before="320" w:after="140"/>
        <w:pBdr>
          <w:bottom w:val="single" w:sz="6" w:space="1" w:color="D6DEE6"/>
        </w:pBdr>
      </w:pPr>
      <w:r>
        <w:rPr>
          <w:rFonts w:ascii="Calibri" w:hAnsi="Calibri"/>
          <w:b/>
          <w:caps w:val="0"/>
          <w:color w:val="0C3D59"/>
          <w:sz w:val="24"/>
        </w:rPr>
        <w:t>13. Proximos Passos</w:t>
      </w:r>
    </w:p>
    <w:p>
      <w:pPr>
        <w:pStyle w:val="ListNumber"/>
        <w:spacing w:after="60"/>
        <w:ind w:left="255"/>
      </w:pPr>
      <w:r>
        <w:rPr>
          <w:rFonts w:ascii="Calibri" w:hAnsi="Calibri"/>
          <w:b w:val="0"/>
          <w:caps w:val="0"/>
          <w:color w:val="161C24"/>
        </w:rPr>
        <w:t>aprovacao da proposta</w:t>
      </w:r>
    </w:p>
    <w:p>
      <w:pPr>
        <w:pStyle w:val="ListNumber"/>
        <w:spacing w:after="60"/>
        <w:ind w:left="255"/>
      </w:pPr>
      <w:r>
        <w:rPr>
          <w:rFonts w:ascii="Calibri" w:hAnsi="Calibri"/>
          <w:b w:val="0"/>
          <w:caps w:val="0"/>
          <w:color w:val="161C24"/>
        </w:rPr>
        <w:t>envio dos arquivos e contexto necessario</w:t>
      </w:r>
    </w:p>
    <w:p>
      <w:pPr>
        <w:pStyle w:val="ListNumber"/>
        <w:spacing w:after="60"/>
        <w:ind w:left="255"/>
      </w:pPr>
      <w:r>
        <w:rPr>
          <w:rFonts w:ascii="Calibri" w:hAnsi="Calibri"/>
          <w:b w:val="0"/>
          <w:caps w:val="0"/>
          <w:color w:val="161C24"/>
        </w:rPr>
        <w:t>confirmacao do pagamento inicial</w:t>
      </w:r>
    </w:p>
    <w:p>
      <w:pPr>
        <w:pStyle w:val="ListNumber"/>
        <w:spacing w:after="60"/>
        <w:ind w:left="255"/>
      </w:pPr>
      <w:r>
        <w:rPr>
          <w:rFonts w:ascii="Calibri" w:hAnsi="Calibri"/>
          <w:b w:val="0"/>
          <w:caps w:val="0"/>
          <w:color w:val="161C24"/>
        </w:rPr>
        <w:t>inicio da execucao</w:t>
      </w:r>
    </w:p>
    <w:p>
      <w:pPr>
        <w:pStyle w:val="ListNumber"/>
        <w:spacing w:after="60"/>
        <w:ind w:left="255"/>
      </w:pPr>
      <w:r>
        <w:rPr>
          <w:rFonts w:ascii="Calibri" w:hAnsi="Calibri"/>
          <w:b w:val="0"/>
          <w:caps w:val="0"/>
          <w:color w:val="161C24"/>
        </w:rPr>
        <w:t>entrega do material dentro do prazo acordado</w:t>
      </w:r>
    </w:p>
    <w:p>
      <w:pPr>
        <w:spacing w:before="320" w:after="140"/>
        <w:pBdr>
          <w:bottom w:val="single" w:sz="6" w:space="1" w:color="D6DEE6"/>
        </w:pBdr>
      </w:pPr>
      <w:r>
        <w:rPr>
          <w:rFonts w:ascii="Calibri" w:hAnsi="Calibri"/>
          <w:b/>
          <w:caps w:val="0"/>
          <w:color w:val="0C3D59"/>
          <w:sz w:val="24"/>
        </w:rPr>
        <w:t>14. Encerramento</w:t>
      </w:r>
    </w:p>
    <w:p>
      <w:pPr>
        <w:spacing w:after="120" w:line="288" w:lineRule="auto"/>
        <w:jc w:val="both"/>
      </w:pPr>
      <w:r>
        <w:rPr>
          <w:rFonts w:ascii="Calibri" w:hAnsi="Calibri"/>
          <w:b w:val="0"/>
          <w:caps w:val="0"/>
          <w:color w:val="161C24"/>
        </w:rPr>
        <w:t>Fico a disposicao para apoiar a organizacao, valorizacao e comunicacao das entregas do projeto, transformando artefatos tecnicos em materiais mais claros, bem estruturados e prontos para uso profissional.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463"/>
      </w:tblGrid>
      <w:tr>
        <w:tc>
          <w:tcPr>
            <w:tcW w:type="dxa" w:w="2381"/>
            <w:shd w:fill="EEF3F6"/>
            <w:tcBorders>
              <w:top w:val="single" w:sz="8" w:space="0" w:color="D6DEE6"/>
              <w:left w:val="single" w:sz="8" w:space="0" w:color="D6DEE6"/>
              <w:bottom w:val="single" w:sz="8" w:space="0" w:color="D6DEE6"/>
              <w:right w:val="single" w:sz="8" w:space="0" w:color="D6DEE6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aps w:val="0"/>
                <w:color w:val="586370"/>
                <w:sz w:val="19"/>
              </w:rPr>
              <w:t>Seu nome</w:t>
            </w:r>
          </w:p>
        </w:tc>
        <w:tc>
          <w:tcPr>
            <w:tcW w:type="dxa" w:w="6463"/>
            <w:shd w:fill="FFFFFF"/>
            <w:tcBorders>
              <w:top w:val="single" w:sz="8" w:space="0" w:color="D6DEE6"/>
              <w:left w:val="single" w:sz="8" w:space="0" w:color="D6DEE6"/>
              <w:bottom w:val="single" w:sz="8" w:space="0" w:color="D6DEE6"/>
              <w:right w:val="single" w:sz="8" w:space="0" w:color="D6DEE6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aps w:val="0"/>
                <w:color w:val="161C24"/>
              </w:rPr>
              <w:t>Seu Nome</w:t>
            </w:r>
          </w:p>
        </w:tc>
      </w:tr>
      <w:tr>
        <w:tc>
          <w:tcPr>
            <w:tcW w:type="dxa" w:w="2381"/>
            <w:shd w:fill="EEF3F6"/>
            <w:tcBorders>
              <w:top w:val="single" w:sz="8" w:space="0" w:color="D6DEE6"/>
              <w:left w:val="single" w:sz="8" w:space="0" w:color="D6DEE6"/>
              <w:bottom w:val="single" w:sz="8" w:space="0" w:color="D6DEE6"/>
              <w:right w:val="single" w:sz="8" w:space="0" w:color="D6DEE6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aps w:val="0"/>
                <w:color w:val="586370"/>
                <w:sz w:val="19"/>
              </w:rPr>
              <w:t>Nome da marca</w:t>
            </w:r>
          </w:p>
        </w:tc>
        <w:tc>
          <w:tcPr>
            <w:tcW w:type="dxa" w:w="6463"/>
            <w:shd w:fill="FFFFFF"/>
            <w:tcBorders>
              <w:top w:val="single" w:sz="8" w:space="0" w:color="D6DEE6"/>
              <w:left w:val="single" w:sz="8" w:space="0" w:color="D6DEE6"/>
              <w:bottom w:val="single" w:sz="8" w:space="0" w:color="D6DEE6"/>
              <w:right w:val="single" w:sz="8" w:space="0" w:color="D6DEE6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aps w:val="0"/>
                <w:color w:val="161C24"/>
              </w:rPr>
              <w:t>Sua Marca</w:t>
            </w:r>
          </w:p>
        </w:tc>
      </w:tr>
      <w:tr>
        <w:tc>
          <w:tcPr>
            <w:tcW w:type="dxa" w:w="2381"/>
            <w:shd w:fill="EEF3F6"/>
            <w:tcBorders>
              <w:top w:val="single" w:sz="8" w:space="0" w:color="D6DEE6"/>
              <w:left w:val="single" w:sz="8" w:space="0" w:color="D6DEE6"/>
              <w:bottom w:val="single" w:sz="8" w:space="0" w:color="D6DEE6"/>
              <w:right w:val="single" w:sz="8" w:space="0" w:color="D6DEE6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aps w:val="0"/>
                <w:color w:val="586370"/>
                <w:sz w:val="19"/>
              </w:rPr>
              <w:t>WhatsApp</w:t>
            </w:r>
          </w:p>
        </w:tc>
        <w:tc>
          <w:tcPr>
            <w:tcW w:type="dxa" w:w="6463"/>
            <w:shd w:fill="FFFFFF"/>
            <w:tcBorders>
              <w:top w:val="single" w:sz="8" w:space="0" w:color="D6DEE6"/>
              <w:left w:val="single" w:sz="8" w:space="0" w:color="D6DEE6"/>
              <w:bottom w:val="single" w:sz="8" w:space="0" w:color="D6DEE6"/>
              <w:right w:val="single" w:sz="8" w:space="0" w:color="D6DEE6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aps w:val="0"/>
                <w:color w:val="161C24"/>
              </w:rPr>
              <w:t>+55 11 99999-9999</w:t>
            </w:r>
          </w:p>
        </w:tc>
      </w:tr>
      <w:tr>
        <w:tc>
          <w:tcPr>
            <w:tcW w:type="dxa" w:w="2381"/>
            <w:shd w:fill="EEF3F6"/>
            <w:tcBorders>
              <w:top w:val="single" w:sz="8" w:space="0" w:color="D6DEE6"/>
              <w:left w:val="single" w:sz="8" w:space="0" w:color="D6DEE6"/>
              <w:bottom w:val="single" w:sz="8" w:space="0" w:color="D6DEE6"/>
              <w:right w:val="single" w:sz="8" w:space="0" w:color="D6DEE6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aps w:val="0"/>
                <w:color w:val="586370"/>
                <w:sz w:val="19"/>
              </w:rPr>
              <w:t>E-mail</w:t>
            </w:r>
          </w:p>
        </w:tc>
        <w:tc>
          <w:tcPr>
            <w:tcW w:type="dxa" w:w="6463"/>
            <w:shd w:fill="FFFFFF"/>
            <w:tcBorders>
              <w:top w:val="single" w:sz="8" w:space="0" w:color="D6DEE6"/>
              <w:left w:val="single" w:sz="8" w:space="0" w:color="D6DEE6"/>
              <w:bottom w:val="single" w:sz="8" w:space="0" w:color="D6DEE6"/>
              <w:right w:val="single" w:sz="8" w:space="0" w:color="D6DEE6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aps w:val="0"/>
                <w:color w:val="161C24"/>
              </w:rPr>
              <w:t>contato@suamarca.com</w:t>
            </w:r>
          </w:p>
        </w:tc>
      </w:tr>
      <w:tr>
        <w:tc>
          <w:tcPr>
            <w:tcW w:type="dxa" w:w="2381"/>
            <w:shd w:fill="EEF3F6"/>
            <w:tcBorders>
              <w:top w:val="single" w:sz="8" w:space="0" w:color="D6DEE6"/>
              <w:left w:val="single" w:sz="8" w:space="0" w:color="D6DEE6"/>
              <w:bottom w:val="single" w:sz="8" w:space="0" w:color="D6DEE6"/>
              <w:right w:val="single" w:sz="8" w:space="0" w:color="D6DEE6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aps w:val="0"/>
                <w:color w:val="586370"/>
                <w:sz w:val="19"/>
              </w:rPr>
              <w:t>LinkedIn</w:t>
            </w:r>
          </w:p>
        </w:tc>
        <w:tc>
          <w:tcPr>
            <w:tcW w:type="dxa" w:w="6463"/>
            <w:shd w:fill="FFFFFF"/>
            <w:tcBorders>
              <w:top w:val="single" w:sz="8" w:space="0" w:color="D6DEE6"/>
              <w:left w:val="single" w:sz="8" w:space="0" w:color="D6DEE6"/>
              <w:bottom w:val="single" w:sz="8" w:space="0" w:color="D6DEE6"/>
              <w:right w:val="single" w:sz="8" w:space="0" w:color="D6DEE6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aps w:val="0"/>
                <w:color w:val="161C24"/>
              </w:rPr>
              <w:t>linkedin.com/in/seuperfil</w:t>
            </w:r>
          </w:p>
        </w:tc>
      </w:tr>
    </w:tbl>
    <w:p/>
    <w:sectPr w:rsidR="00FC693F" w:rsidRPr="0006063C" w:rsidSect="00034616">
      <w:type w:val="continuous"/>
      <w:pgSz w:w="12240" w:h="15840"/>
      <w:pgMar w:top="1247" w:right="1134" w:bottom="1020" w:left="130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/>
        <w:b w:val="0"/>
        <w:caps w:val="0"/>
        <w:color w:val="586370"/>
        <w:sz w:val="17"/>
      </w:rPr>
      <w:t>Seu Nome  |  +55 11 99999-9999  |  contato@suamarca.com  |  linkedin.com/in/seuperfil</w:t>
    </w:r>
    <w:r>
      <w:rPr>
        <w:rFonts w:ascii="Calibri" w:hAnsi="Calibri"/>
        <w:b w:val="0"/>
        <w:caps w:val="0"/>
        <w:color w:val="586370"/>
        <w:sz w:val="17"/>
      </w:rPr>
      <w:t>Seu Nome  |  +55 11 99999-9999  |  contato@suamarca.com  |  linkedin.com/in/seuperfil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aps w:val="0"/>
        <w:color w:val="586370"/>
        <w:sz w:val="17"/>
      </w:rPr>
      <w:t>Sua Marca  |  Proposta Comercial</w:t>
    </w:r>
    <w:r>
      <w:rPr>
        <w:rFonts w:ascii="Calibri" w:hAnsi="Calibri"/>
        <w:b/>
        <w:caps w:val="0"/>
        <w:color w:val="586370"/>
        <w:sz w:val="17"/>
      </w:rPr>
      <w:t>Sua Marca  |  Proposta Comercial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Calibri" w:hAnsi="Calibri"/>
      <w:color w:val="161C2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