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Может как произойти так и не произойти</w:t>
      </w:r>
    </w:p>
    <w:p>
      <w:r>
        <w:t xml:space="preserve">Б) </w:t>
      </w:r>
      <w:r>
        <w:rPr>
          <w:rStyle w:val="f_tasks"/>
        </w:rPr>
        <w:t>Доказанное утверждение</w:t>
      </w:r>
    </w:p>
    <w:p>
      <w:r>
        <w:t xml:space="preserve">В) </w:t>
      </w:r>
      <w:r>
        <w:rPr>
          <w:rStyle w:val="f_tasks"/>
        </w:rPr>
        <w:t>Очевидное свойство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Однородным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Равномерно распределенной на отрезке</w:t>
      </w:r>
    </w:p>
    <w:p>
      <w:r>
        <w:t xml:space="preserve">Г) </w:t>
      </w:r>
      <w:r>
        <w:rPr>
          <w:rStyle w:val="f_tasks"/>
        </w:rPr>
        <w:t>Неравномерно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Только для зависимых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Доказательство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