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11/72;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0.0875;</w:t>
            </w:r>
          </w:p>
        </w:tc>
        <w:tc>
          <w:tcPr>
            <w:tcW w:type="dxa" w:w="2160"/>
          </w:tcPr>
          <w:p>
            <w:r>
              <w:t>б) 0.9125;</w:t>
            </w:r>
          </w:p>
        </w:tc>
        <w:tc>
          <w:tcPr>
            <w:tcW w:type="dxa" w:w="2160"/>
          </w:tcPr>
          <w:p>
            <w:r>
              <w:t>в) 0.1625;</w:t>
            </w:r>
          </w:p>
        </w:tc>
        <w:tc>
          <w:tcPr>
            <w:tcW w:type="dxa" w:w="2160"/>
          </w:tcPr>
          <w:p>
            <w:r>
              <w:t>г) 0.8375.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0.796;</w:t>
            </w:r>
          </w:p>
        </w:tc>
        <w:tc>
          <w:tcPr>
            <w:tcW w:type="dxa" w:w="2160"/>
          </w:tcPr>
          <w:p>
            <w:r>
              <w:t>б) 0.084;</w:t>
            </w:r>
          </w:p>
        </w:tc>
        <w:tc>
          <w:tcPr>
            <w:tcW w:type="dxa" w:w="2160"/>
          </w:tcPr>
          <w:p>
            <w:r>
              <w:t>в) 0.204;</w:t>
            </w:r>
          </w:p>
        </w:tc>
        <w:tc>
          <w:tcPr>
            <w:tcW w:type="dxa" w:w="2160"/>
          </w:tcPr>
          <w:p>
            <w:r>
              <w:t>г) 0.916.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0.29; b = 0.13; c = 0.23;</w:t>
            </w:r>
          </w:p>
        </w:tc>
        <w:tc>
          <w:tcPr>
            <w:tcW w:type="dxa" w:w="4320"/>
          </w:tcPr>
          <w:p>
            <w:r>
              <w:t>б) a = 0.17; b = 0.13; c = 0.17;</w:t>
            </w:r>
          </w:p>
        </w:tc>
      </w:tr>
      <w:tr>
        <w:tc>
          <w:tcPr>
            <w:tcW w:type="dxa" w:w="4320"/>
          </w:tcPr>
          <w:p>
            <w:r>
              <w:t>в) a = 0.17; b = 0.16; c = 0.19;</w:t>
            </w:r>
          </w:p>
        </w:tc>
        <w:tc>
          <w:tcPr>
            <w:tcW w:type="dxa" w:w="4320"/>
          </w:tcPr>
          <w:p>
            <w:r>
              <w:t>г) a = 0.22; b = 0.2; c = 0.14.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