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sz w:val="22"/>
          <w:szCs w:val="22"/>
          <w:u w:val="single"/>
        </w:rPr>
      </w:pPr>
      <w:r>
        <w:rPr>
          <w:b/>
          <w:sz w:val="22"/>
          <w:szCs w:val="22"/>
        </w:rPr>
        <w:t>Контракт  № КС3/2305022161</w:t>
      </w:r>
      <w:r>
        <w:rPr>
          <w:b/>
          <w:sz w:val="22"/>
          <w:szCs w:val="22"/>
          <w:lang w:val="en-US"/>
        </w:rPr>
        <w:t/>
      </w:r>
      <w:r>
        <w:rPr>
          <w:b/>
          <w:sz w:val="22"/>
          <w:szCs w:val="22"/>
        </w:rPr>
        <w:t>/25</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
      </w:r>
      <w:r>
        <w:rPr>
          <w:sz w:val="22"/>
          <w:szCs w:val="22"/>
          <w:lang w:val="en-US"/>
        </w:rPr>
        <w:t/>
      </w:r>
      <w:r>
        <w:rPr>
          <w:sz w:val="22"/>
          <w:szCs w:val="22"/>
        </w:rPr>
        <w:t xml:space="preserve">  </w:t>
      </w:r>
    </w:p>
    <w:p>
      <w:pPr>
        <w:pStyle w:val="Normal"/>
        <w:jc w:val="both"/>
        <w:rPr>
          <w:sz w:val="22"/>
          <w:szCs w:val="22"/>
        </w:rPr>
      </w:pPr>
      <w:r>
        <w:rPr>
          <w:sz w:val="22"/>
          <w:szCs w:val="22"/>
        </w:rPr>
      </w:r>
    </w:p>
    <w:p>
      <w:pPr>
        <w:pStyle w:val="Normal"/>
        <w:jc w:val="both"/>
        <w:rPr>
          <w:sz w:val="22"/>
          <w:szCs w:val="22"/>
        </w:rPr>
      </w:pPr>
      <w:r>
        <w:rPr>
          <w:sz w:val="22"/>
          <w:szCs w:val="22"/>
        </w:rPr>
        <w:t>Управление образование Администрации муниципального образования города Горячий Ключ</w:t>
      </w:r>
      <w:r>
        <w:rPr>
          <w:sz w:val="22"/>
          <w:szCs w:val="22"/>
          <w:lang w:val="en-US"/>
        </w:rPr>
        <w:t/>
      </w:r>
      <w:r>
        <w:rPr>
          <w:sz w:val="22"/>
          <w:szCs w:val="22"/>
        </w:rPr>
        <w:t/>
      </w:r>
      <w:r>
        <w:rPr>
          <w:b w:val="false"/>
          <w:bCs w:val="false"/>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начальника Управления</w:t>
      </w:r>
      <w:r>
        <w:rPr>
          <w:sz w:val="22"/>
          <w:szCs w:val="22"/>
          <w:lang w:val="en-US"/>
        </w:rPr>
        <w:t/>
      </w:r>
      <w:r>
        <w:rPr>
          <w:sz w:val="22"/>
          <w:szCs w:val="22"/>
        </w:rPr>
        <w:t> Ефременко Екатерины Александровны</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2024 года. Срок предоставления услуги с 1 января 2024 г. по 31 декабря 2024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ИКЗ:___________________________________________</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7 272 (семь тысяч двести семьдесят два) рубля 00 копеек с учетом НДС 20% в сумме 1 212 (одна тысяча двести двенадцать) рублей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 xml:space="preserve">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 </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ОО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Управление образование Администрации муниципального образования города Горячий Ключ</w:t>
            </w:r>
          </w:p>
          <w:p>
            <w:pPr>
              <w:pStyle w:val="Normal"/>
              <w:jc w:val="both"/>
              <w:rPr>
                <w:b/>
                <w:sz w:val="22"/>
                <w:szCs w:val="22"/>
                <w:lang w:val="en-US"/>
              </w:rPr>
            </w:pPr>
            <w:r>
              <w:rPr>
                <w:b/>
                <w:sz w:val="22"/>
                <w:szCs w:val="22"/>
                <w:lang w:val="en-US"/>
              </w:rPr>
              <w:t>УПРАВЛЕНИЕ ОБРАЗОВАНИЯ АДМИНИСТРАЦИИ Г. ГОРЯЧИЙ КЛЮЧ</w:t>
            </w:r>
          </w:p>
          <w:p>
            <w:pPr>
              <w:pStyle w:val="Normal"/>
              <w:jc w:val="both"/>
              <w:rPr>
                <w:sz w:val="22"/>
                <w:szCs w:val="22"/>
                <w:lang w:val="en-US"/>
              </w:rPr>
            </w:pPr>
            <w:r>
              <w:rPr>
                <w:sz w:val="22"/>
                <w:szCs w:val="22"/>
                <w:lang w:val="en-US"/>
              </w:rPr>
              <w:t>353290, РФ, Краснодарский край, город Горячий Ключ, улица Кириченко, д.12А</w:t>
            </w:r>
          </w:p>
          <w:p>
            <w:pPr>
              <w:pStyle w:val="Normal"/>
              <w:jc w:val="both"/>
              <w:rPr>
                <w:sz w:val="22"/>
                <w:szCs w:val="22"/>
                <w:lang w:val="en-US"/>
              </w:rPr>
            </w:pPr>
            <w:r>
              <w:rPr>
                <w:sz w:val="22"/>
                <w:szCs w:val="22"/>
                <w:lang w:val="en-US"/>
              </w:rPr>
              <w:t>ИНН 2305022161  КПП 230501001</w:t>
              <w:br/>
              <w:t>ОГРН 1042302496862</w:t>
              <w:br/>
              <w:t>ЕКС: 40102810945370000010</w:t>
              <w:br/>
              <w:t>Казначейский счет </w:t>
              <w:br/>
              <w:t>03231643037090001800</w:t>
              <w:br/>
              <w:t>БИК ТОФК 010349101 </w:t>
              <w:br/>
              <w:t>ЮЖНОЕ ГУ БАНКА РОССИИ//</w:t>
              <w:br/>
              <w:t>УФК по Краснодарскому краю</w:t>
              <w:br/>
              <w:t>г. Краснодар л/сч 925.11.019.0</w:t>
            </w:r>
          </w:p>
          <w:p>
            <w:pPr>
              <w:pStyle w:val="Normal"/>
              <w:jc w:val="both"/>
              <w:rPr>
                <w:sz w:val="22"/>
                <w:szCs w:val="22"/>
                <w:lang w:val="en-US"/>
              </w:rPr>
            </w:pPr>
            <w:r>
              <w:rPr>
                <w:sz w:val="22"/>
                <w:szCs w:val="22"/>
                <w:lang w:val="en-US"/>
              </w:rPr>
              <w:t>e-mail: uo@gor.kubannet.ru</w:t>
            </w:r>
          </w:p>
          <w:p>
            <w:pPr>
              <w:pStyle w:val="Normal"/>
              <w:jc w:val="both"/>
              <w:rPr>
                <w:sz w:val="22"/>
                <w:szCs w:val="22"/>
                <w:lang w:val="en-US"/>
              </w:rPr>
            </w:pPr>
            <w:r>
              <w:rPr>
                <w:sz w:val="22"/>
                <w:szCs w:val="22"/>
              </w:rPr>
              <w:t xml:space="preserve">тел. </w:t>
            </w:r>
            <w:r>
              <w:rPr>
                <w:sz w:val="22"/>
                <w:szCs w:val="22"/>
                <w:lang w:val="en-US"/>
              </w:rPr>
              <w:t>8(86159)44491</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Начальник Управления УПРАВЛЕНИЕ ОБРАЗОВАНИЯ АДМИНИСТРАЦИИ Г. ГОРЯЧИЙ КЛЮЧ</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Е.А. Ефременко</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 xml:space="preserve">к Контракту № КС3/2305022161/25 от   </w:t>
      </w:r>
    </w:p>
    <w:p>
      <w:pPr>
        <w:pStyle w:val="Normal"/>
        <w:rPr>
          <w:sz w:val="22"/>
          <w:szCs w:val="22"/>
        </w:rPr>
      </w:pPr>
      <w:r>
        <w:rPr>
          <w:sz w:val="22"/>
          <w:szCs w:val="22"/>
        </w:rPr>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jc w:val="center"/>
        <w:rPr>
          <w:sz w:val="22"/>
          <w:szCs w:val="22"/>
        </w:rPr>
      </w:pPr>
      <w:r>
        <w:rPr>
          <w:sz w:val="22"/>
          <w:szCs w:val="22"/>
        </w:rPr>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r>
    </w:p>
    <w:p>
      <w:pPr>
        <w:pStyle w:val="Normal"/>
        <w:jc w:val="both"/>
        <w:rPr>
          <w:b/>
          <w:sz w:val="22"/>
          <w:szCs w:val="22"/>
        </w:rPr>
      </w:pPr>
      <w:r>
        <w:rPr>
          <w:b/>
          <w:sz w:val="22"/>
          <w:szCs w:val="22"/>
        </w:rPr>
        <w:t>2. СОДЕРЖАНИЕ РАБОТ И УСЛУГ.</w:t>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bCs/>
                <w:kern w:val="0"/>
                <w:sz w:val="22"/>
                <w:szCs w:val="22"/>
                <w:lang w:val="ru-RU" w:eastAsia="ru-RU" w:bidi="ar-SA"/>
              </w:rPr>
              <w:t>Организация и поддержка корпоративных списков рассылки электронной почты с функцией мониторинга получения почтовых сообщений</w:t>
            </w:r>
          </w:p>
        </w:tc>
      </w:tr>
    </w:tbl>
    <w:p>
      <w:pPr>
        <w:pStyle w:val="Normal"/>
        <w:rPr>
          <w:b/>
          <w:sz w:val="22"/>
          <w:szCs w:val="22"/>
        </w:rPr>
      </w:pPr>
      <w:r>
        <w:rPr>
          <w:b/>
          <w:sz w:val="22"/>
          <w:szCs w:val="22"/>
        </w:rPr>
      </w:r>
    </w:p>
    <w:p>
      <w:pPr>
        <w:pStyle w:val="Normal"/>
        <w:rPr>
          <w:b/>
          <w:sz w:val="22"/>
          <w:szCs w:val="22"/>
        </w:rPr>
      </w:pPr>
      <w:r>
        <w:rPr>
          <w:b/>
          <w:sz w:val="22"/>
          <w:szCs w:val="22"/>
        </w:rPr>
        <w:t>3. ТРЕБОВАНИЯ К ПРЕДОСТАВЛЯЕМЫМ УСЛУГАМ</w:t>
      </w:r>
    </w:p>
    <w:p>
      <w:pPr>
        <w:pStyle w:val="Normal"/>
        <w:rPr>
          <w:sz w:val="22"/>
          <w:szCs w:val="22"/>
        </w:rPr>
      </w:pPr>
      <w:r>
        <w:rPr>
          <w:sz w:val="22"/>
          <w:szCs w:val="22"/>
        </w:rPr>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ind w:firstLine="284" w:left="0"/>
        <w:jc w:val="both"/>
        <w:rPr>
          <w:sz w:val="22"/>
          <w:szCs w:val="22"/>
        </w:rPr>
      </w:pPr>
      <w:bookmarkStart w:id="0" w:name="_Hlk150437682"/>
      <w:r>
        <w:rPr>
          <w:sz w:val="22"/>
          <w:szCs w:val="22"/>
        </w:rPr>
        <w:t>Организация и поддержка корпоративных списков рассылки электронной почты с функцией мониторинга получения почтовых сообщений означает организацию и поддержку стандартных корпоративных списков рассылки электронной почты с функцией модерирования отправки и мониторинга получения почтовых сообщений, а также возможность создания дополнительных списков рассылки, реализуемая по запросу муниципального органа управления образованием.</w:t>
      </w:r>
      <w:bookmarkEnd w:id="0"/>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1"/>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1"/>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1"/>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1"/>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1"/>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2"/>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2"/>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2"/>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2"/>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1"/>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1"/>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1"/>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1"/>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1"/>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1"/>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2"/>
        </w:numPr>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2"/>
        </w:numPr>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2"/>
        </w:numPr>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1"/>
        </w:numPr>
        <w:ind w:hanging="283" w:left="567"/>
        <w:jc w:val="both"/>
        <w:rPr>
          <w:sz w:val="22"/>
          <w:szCs w:val="22"/>
        </w:rPr>
      </w:pPr>
      <w:r>
        <w:rPr>
          <w:sz w:val="22"/>
          <w:szCs w:val="22"/>
        </w:rPr>
        <w:t xml:space="preserve">открытый ретранслятор электронной почты (open SMTP-relay); </w:t>
      </w:r>
    </w:p>
    <w:p>
      <w:pPr>
        <w:pStyle w:val="Normal"/>
        <w:numPr>
          <w:ilvl w:val="0"/>
          <w:numId w:val="11"/>
        </w:numPr>
        <w:ind w:hanging="283" w:left="567"/>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1"/>
        </w:numPr>
        <w:ind w:hanging="283" w:left="567"/>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1"/>
        </w:numPr>
        <w:ind w:hanging="283" w:left="567"/>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1"/>
        </w:numPr>
        <w:ind w:hanging="283" w:left="567"/>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Начальник Управления УПРАВЛЕНИЕ ОБРАЗОВАНИЯ АДМИНИСТРАЦИИ Г. ГОРЯЧИЙ КЛЮЧ</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Е.А. Ефременко</w:t>
            </w:r>
          </w:p>
          <w:p>
            <w:pPr>
              <w:pStyle w:val="Normal"/>
              <w:jc w:val="both"/>
              <w:rPr>
                <w:sz w:val="22"/>
                <w:szCs w:val="22"/>
              </w:rPr>
            </w:pPr>
            <w:r>
              <w:rPr>
                <w:sz w:val="22"/>
                <w:szCs w:val="22"/>
              </w:rPr>
              <w:t>М.П.</w:t>
            </w:r>
          </w:p>
        </w:tc>
      </w:tr>
    </w:tbl>
    <w:p>
      <w:pPr>
        <w:pStyle w:val="Normal"/>
        <w:jc w:val="both"/>
        <w:rPr/>
      </w:pPr>
      <w:r>
        <w:rPr/>
      </w:r>
      <w:r>
        <w:br w:type="page"/>
      </w:r>
    </w:p>
    <w:tbl>
      <w:tblPr>
        <w:tblW w:w="9288"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8"/>
        <w:gridCol w:w="1947"/>
        <w:gridCol w:w="3963"/>
      </w:tblGrid>
      <w:tr>
        <w:trPr/>
        <w:tc>
          <w:tcPr>
            <w:tcW w:w="3378" w:type="dxa"/>
            <w:tcBorders/>
          </w:tcPr>
          <w:p>
            <w:pPr>
              <w:pStyle w:val="Noeeu"/>
              <w:pageBreakBefore/>
              <w:widowControl/>
              <w:spacing w:before="0" w:after="0"/>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r>
              <w:rPr>
                <w:sz w:val="22"/>
                <w:szCs w:val="22"/>
                <w:lang w:val="ru-RU"/>
              </w:rPr>
              <w:t>КС3/2305022161</w:t>
            </w:r>
            <w:r>
              <w:rPr>
                <w:sz w:val="22"/>
                <w:szCs w:val="22"/>
              </w:rPr>
              <w:t/>
            </w:r>
            <w:r>
              <w:rPr>
                <w:sz w:val="22"/>
                <w:szCs w:val="22"/>
                <w:lang w:val="ru-RU"/>
              </w:rPr>
              <w:t>/25 от </w:t>
            </w:r>
            <w:r>
              <w:rPr>
                <w:sz w:val="22"/>
                <w:szCs w:val="22"/>
              </w:rPr>
              <w:t/>
            </w:r>
            <w:r>
              <w:rPr>
                <w:sz w:val="22"/>
                <w:szCs w:val="22"/>
                <w:lang w:val="ru-RU"/>
              </w:rPr>
              <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Начальник Управления УПРАВЛЕНИЕ ОБРАЗОВАНИЯ АДМИНИСТРАЦИИ Г. ГОРЯЧИЙ КЛЮЧ Ефременко Екатерины Александровны, 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9"/>
        <w:gridCol w:w="1420"/>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9"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0"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9"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bCs/>
                <w:sz w:val="22"/>
                <w:szCs w:val="22"/>
                <w:lang w:val="ru-RU"/>
              </w:rPr>
              <w:t>Организация и поддержка корпоративных списков рассылки электронной почты с функцией мониторинга получения почтовых сообщений</w:t>
            </w:r>
          </w:p>
        </w:tc>
        <w:tc>
          <w:tcPr>
            <w:tcW w:w="1420"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102</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1224</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7272</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Стоимость Контракта составляет 7 272 ( семь тысяч двести семьдесят два) рубля 00 копеек с учетом НДС 20% в сумме 1 212 (одна тысяча двести двенадцать) рублей 00 копеек.</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80"/>
        <w:gridCol w:w="5356"/>
      </w:tblGrid>
      <w:tr>
        <w:trPr>
          <w:trHeight w:val="429"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80"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6"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80"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6" w:type="dxa"/>
            <w:tcBorders/>
          </w:tcPr>
          <w:p>
            <w:pPr>
              <w:pStyle w:val="Normal"/>
              <w:jc w:val="both"/>
              <w:rPr>
                <w:sz w:val="22"/>
                <w:szCs w:val="22"/>
                <w:lang w:val="en-US"/>
              </w:rPr>
            </w:pPr>
            <w:r>
              <w:rPr>
                <w:sz w:val="22"/>
                <w:szCs w:val="22"/>
                <w:lang w:val="en-US"/>
              </w:rPr>
              <w:t>Начальник Управления УПРАВЛЕНИЕ ОБРАЗОВАНИЯ АДМИНИСТРАЦИИ Г. ГОРЯЧИЙ КЛЮЧ</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Е.А. Ефременко</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80"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6" w:type="dxa"/>
            <w:tcBorders/>
          </w:tcPr>
          <w:p>
            <w:pPr>
              <w:pStyle w:val="Noeeu"/>
              <w:widowControl/>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 xml:space="preserve">к Контракту № КС3/2305022161/25 от  </w:t>
      </w:r>
      <w:r>
        <w:rPr>
          <w:sz w:val="22"/>
          <w:szCs w:val="22"/>
        </w:rPr>
        <w:t xml:space="preserve">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  </w:t>
      </w:r>
    </w:p>
    <w:p>
      <w:pPr>
        <w:pStyle w:val="Normal"/>
        <w:ind w:firstLine="708"/>
        <w:jc w:val="both"/>
        <w:rPr>
          <w:sz w:val="22"/>
          <w:szCs w:val="22"/>
        </w:rPr>
      </w:pPr>
      <w:r>
        <w:rPr>
          <w:sz w:val="22"/>
          <w:szCs w:val="22"/>
        </w:rPr>
        <w:t>Управление образование Администрации муниципального образования города Горячий Ключ</w:t>
      </w:r>
      <w:r>
        <w:rPr>
          <w:sz w:val="22"/>
          <w:szCs w:val="22"/>
          <w:lang w:val="en-US"/>
        </w:rPr>
        <w:t/>
      </w:r>
      <w:r>
        <w:rPr>
          <w:sz w:val="22"/>
          <w:szCs w:val="22"/>
        </w:rPr>
        <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начальника Управления</w:t>
      </w:r>
      <w:r>
        <w:rPr>
          <w:sz w:val="22"/>
          <w:szCs w:val="22"/>
          <w:lang w:val="en-US"/>
        </w:rPr>
        <w:t/>
      </w:r>
      <w:r>
        <w:rPr>
          <w:sz w:val="22"/>
          <w:szCs w:val="22"/>
        </w:rPr>
        <w:t> Ефременко Екатерины Александровны</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5"/>
        </w:numPr>
        <w:rPr>
          <w:sz w:val="22"/>
          <w:szCs w:val="22"/>
        </w:rPr>
      </w:pPr>
      <w:r>
        <w:rPr>
          <w:sz w:val="22"/>
          <w:szCs w:val="22"/>
        </w:rPr>
        <w:t>ТЕРМИНЫ И ОПРЕДЕЛЕНИЯ</w:t>
      </w:r>
    </w:p>
    <w:p>
      <w:pPr>
        <w:pStyle w:val="ListBullet2"/>
        <w:numPr>
          <w:ilvl w:val="1"/>
          <w:numId w:val="15"/>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5"/>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5"/>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5"/>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5"/>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5"/>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5"/>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5"/>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5"/>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5"/>
        </w:numPr>
        <w:ind w:hanging="431" w:left="431"/>
        <w:rPr>
          <w:sz w:val="22"/>
          <w:szCs w:val="22"/>
        </w:rPr>
      </w:pPr>
      <w:r>
        <w:rPr>
          <w:sz w:val="22"/>
          <w:szCs w:val="22"/>
        </w:rPr>
        <w:t>ПРЕДМЕТ СОГЛАШЕНИЯ</w:t>
      </w:r>
    </w:p>
    <w:p>
      <w:pPr>
        <w:pStyle w:val="ListBullet2"/>
        <w:numPr>
          <w:ilvl w:val="1"/>
          <w:numId w:val="15"/>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5"/>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5"/>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5"/>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5"/>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5"/>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5"/>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5"/>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5"/>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5"/>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5"/>
        </w:numPr>
        <w:rPr>
          <w:sz w:val="22"/>
          <w:szCs w:val="22"/>
        </w:rPr>
      </w:pPr>
      <w:r>
        <w:rPr>
          <w:sz w:val="22"/>
          <w:szCs w:val="22"/>
        </w:rPr>
        <w:t>ВЗАИМОДЕЙСТВИЕ С УДОСТОВЕРЯЮЩИМ ЦЕНТРОМ И ОПЕРАТОРОМ</w:t>
      </w:r>
    </w:p>
    <w:p>
      <w:pPr>
        <w:pStyle w:val="ListBullet2"/>
        <w:numPr>
          <w:ilvl w:val="1"/>
          <w:numId w:val="15"/>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5"/>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5"/>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5"/>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5"/>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5"/>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5"/>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5"/>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5"/>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5"/>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5"/>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5"/>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5"/>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5"/>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5"/>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5"/>
        </w:numPr>
        <w:rPr>
          <w:sz w:val="22"/>
          <w:szCs w:val="22"/>
        </w:rPr>
      </w:pPr>
      <w:r>
        <w:rPr>
          <w:sz w:val="22"/>
          <w:szCs w:val="22"/>
        </w:rPr>
        <w:t>ПОРЯДОК ПРЯМОГО ОБМЕНА НЕФОРМАЛИЗОВАННЫМИ ДОКУМЕНТАМИ</w:t>
      </w:r>
    </w:p>
    <w:p>
      <w:pPr>
        <w:pStyle w:val="ListBullet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5"/>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5"/>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5"/>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5"/>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5"/>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5"/>
        </w:numPr>
        <w:rPr>
          <w:sz w:val="22"/>
          <w:szCs w:val="22"/>
        </w:rPr>
      </w:pPr>
      <w:r>
        <w:rPr>
          <w:sz w:val="22"/>
          <w:szCs w:val="22"/>
        </w:rPr>
        <w:t>ПРОЧИЕ УСЛОВИЯ</w:t>
      </w:r>
    </w:p>
    <w:p>
      <w:pPr>
        <w:pStyle w:val="ListBullet2"/>
        <w:numPr>
          <w:ilvl w:val="1"/>
          <w:numId w:val="15"/>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5"/>
        </w:numPr>
        <w:rPr>
          <w:sz w:val="22"/>
          <w:szCs w:val="22"/>
        </w:rPr>
      </w:pPr>
      <w:r>
        <w:rPr>
          <w:sz w:val="22"/>
          <w:szCs w:val="22"/>
        </w:rPr>
        <w:t>РАЗРЕШЕНИЕ СПОРОВ</w:t>
      </w:r>
    </w:p>
    <w:p>
      <w:pPr>
        <w:pStyle w:val="ListBullet2"/>
        <w:numPr>
          <w:ilvl w:val="1"/>
          <w:numId w:val="15"/>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5"/>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5"/>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5"/>
        </w:numPr>
        <w:rPr>
          <w:sz w:val="22"/>
          <w:szCs w:val="22"/>
        </w:rPr>
      </w:pPr>
      <w:r>
        <w:rPr>
          <w:sz w:val="22"/>
          <w:szCs w:val="22"/>
        </w:rPr>
        <w:t>ДЕЙСТВИЕ СОГЛАШЕНИЯ И ПОРЯДОК ЕГО ИЗМЕНЕНИЯ</w:t>
      </w:r>
    </w:p>
    <w:p>
      <w:pPr>
        <w:pStyle w:val="ListBullet2"/>
        <w:numPr>
          <w:ilvl w:val="1"/>
          <w:numId w:val="15"/>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5"/>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5"/>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5"/>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Управление образование Администрации муниципального образования города Горячий Ключ</w:t>
            </w:r>
          </w:p>
          <w:p>
            <w:pPr>
              <w:pStyle w:val="Normal"/>
              <w:jc w:val="both"/>
              <w:rPr>
                <w:b/>
                <w:sz w:val="22"/>
                <w:szCs w:val="22"/>
                <w:lang w:val="en-US"/>
              </w:rPr>
            </w:pPr>
            <w:r>
              <w:rPr>
                <w:b/>
                <w:sz w:val="22"/>
                <w:szCs w:val="22"/>
                <w:lang w:val="en-US"/>
              </w:rPr>
              <w:t>УПРАВЛЕНИЕ ОБРАЗОВАНИЯ АДМИНИСТРАЦИИ Г. ГОРЯЧИЙ КЛЮЧ</w:t>
            </w:r>
          </w:p>
          <w:p>
            <w:pPr>
              <w:pStyle w:val="Normal"/>
              <w:jc w:val="both"/>
              <w:rPr>
                <w:sz w:val="22"/>
                <w:szCs w:val="22"/>
                <w:lang w:val="en-US"/>
              </w:rPr>
            </w:pPr>
            <w:r>
              <w:rPr>
                <w:sz w:val="22"/>
                <w:szCs w:val="22"/>
                <w:lang w:val="en-US"/>
              </w:rPr>
              <w:t>353290, РФ, Краснодарский край, город Горячий Ключ, улица Кириченко, д.12А</w:t>
            </w:r>
          </w:p>
          <w:p>
            <w:pPr>
              <w:pStyle w:val="Normal"/>
              <w:jc w:val="both"/>
              <w:rPr>
                <w:sz w:val="22"/>
                <w:szCs w:val="22"/>
                <w:lang w:val="en-US"/>
              </w:rPr>
            </w:pPr>
            <w:r>
              <w:rPr>
                <w:sz w:val="22"/>
                <w:szCs w:val="22"/>
                <w:lang w:val="en-US"/>
              </w:rPr>
              <w:t>ИНН 2305022161  КПП 230501001</w:t>
              <w:br/>
              <w:t>ОГРН 1042302496862</w:t>
              <w:br/>
              <w:t>ЕКС: 40102810945370000010</w:t>
              <w:br/>
              <w:t>Казначейский счет </w:t>
              <w:br/>
              <w:t>03231643037090001800</w:t>
              <w:br/>
              <w:t>БИК ТОФК 010349101 </w:t>
              <w:br/>
              <w:t>ЮЖНОЕ ГУ БАНКА РОССИИ//</w:t>
              <w:br/>
              <w:t>УФК по Краснодарскому краю</w:t>
              <w:br/>
              <w:t>г. Краснодар л/сч 925.11.019.0</w:t>
            </w:r>
          </w:p>
          <w:p>
            <w:pPr>
              <w:pStyle w:val="Normal"/>
              <w:jc w:val="both"/>
              <w:rPr>
                <w:sz w:val="22"/>
                <w:szCs w:val="22"/>
                <w:lang w:val="en-US"/>
              </w:rPr>
            </w:pPr>
            <w:r>
              <w:rPr>
                <w:sz w:val="22"/>
                <w:szCs w:val="22"/>
                <w:lang w:val="en-US"/>
              </w:rPr>
              <w:t>e-mail: uo@gor.kubannet.ru</w:t>
            </w:r>
          </w:p>
          <w:p>
            <w:pPr>
              <w:pStyle w:val="Normal"/>
              <w:jc w:val="both"/>
              <w:rPr>
                <w:sz w:val="22"/>
                <w:szCs w:val="22"/>
                <w:lang w:val="en-US"/>
              </w:rPr>
            </w:pPr>
            <w:r>
              <w:rPr>
                <w:sz w:val="22"/>
                <w:szCs w:val="22"/>
              </w:rPr>
              <w:t xml:space="preserve">тел. </w:t>
            </w:r>
            <w:r>
              <w:rPr>
                <w:sz w:val="22"/>
                <w:szCs w:val="22"/>
                <w:lang w:val="en-US"/>
              </w:rPr>
              <w:t>8(86159)44491</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r>
          </w:p>
        </w:tc>
        <w:tc>
          <w:tcPr>
            <w:tcW w:w="5188" w:type="dxa"/>
            <w:tcBorders/>
          </w:tcPr>
          <w:p>
            <w:pPr>
              <w:pStyle w:val="Normal"/>
              <w:rPr>
                <w:b/>
                <w:sz w:val="22"/>
                <w:szCs w:val="22"/>
              </w:rPr>
            </w:pPr>
            <w:r>
              <w:rPr>
                <w:b/>
                <w:sz w:val="22"/>
                <w:szCs w:val="22"/>
              </w:rPr>
            </w:r>
          </w:p>
        </w:tc>
      </w:tr>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 xml:space="preserve">             </w:t>
            </w: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Начальник Управления</w:t>
            </w:r>
            <w:r>
              <w:rPr>
                <w:sz w:val="22"/>
                <w:szCs w:val="22"/>
                <w:lang w:val="en-US"/>
              </w:rPr>
              <w:t/>
            </w:r>
            <w:r>
              <w:rPr>
                <w:sz w:val="22"/>
                <w:szCs w:val="22"/>
              </w:rPr>
              <w:t> УПРАВЛЕНИЕ ОБРАЗОВАНИЯ АДМИНИСТРАЦИИ Г. ГОРЯЧИЙ КЛЮЧ</w:t>
            </w:r>
            <w:r>
              <w:rPr>
                <w:sz w:val="22"/>
                <w:szCs w:val="22"/>
                <w:lang w:val="en-US"/>
              </w:rPr>
              <w:t/>
            </w:r>
            <w:r>
              <w:rPr>
                <w:sz w:val="22"/>
                <w:szCs w:val="22"/>
              </w:rPr>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Е.А. Ефременко</w:t>
            </w:r>
            <w:r>
              <w:rPr>
                <w:sz w:val="22"/>
                <w:szCs w:val="22"/>
                <w:lang w:val="en-US"/>
              </w:rPr>
              <w:t/>
            </w:r>
            <w:r>
              <w:rPr>
                <w:sz w:val="22"/>
                <w:szCs w:val="22"/>
              </w:rPr>
              <w:t/>
            </w:r>
          </w:p>
          <w:p>
            <w:pPr>
              <w:pStyle w:val="Normal"/>
              <w:rPr>
                <w:sz w:val="22"/>
                <w:szCs w:val="22"/>
              </w:rPr>
            </w:pPr>
            <w:r>
              <w:rPr>
                <w:sz w:val="22"/>
                <w:szCs w:val="22"/>
              </w:rPr>
            </w:r>
          </w:p>
        </w:tc>
      </w:tr>
      <w:tr>
        <w:trPr/>
        <w:tc>
          <w:tcPr>
            <w:tcW w:w="4962" w:type="dxa"/>
            <w:tcBorders/>
          </w:tcPr>
          <w:p>
            <w:pPr>
              <w:pStyle w:val="Normal"/>
              <w:rPr>
                <w:sz w:val="22"/>
                <w:szCs w:val="22"/>
              </w:rPr>
            </w:pPr>
            <w:r>
              <w:rPr>
                <w:sz w:val="22"/>
                <w:szCs w:val="22"/>
              </w:rPr>
            </w:r>
          </w:p>
        </w:tc>
        <w:tc>
          <w:tcPr>
            <w:tcW w:w="5188" w:type="dxa"/>
            <w:tcBorders/>
          </w:tcPr>
          <w:p>
            <w:pPr>
              <w:pStyle w:val="Normal"/>
              <w:jc w:val="both"/>
              <w:rPr>
                <w:sz w:val="22"/>
                <w:szCs w:val="22"/>
              </w:rPr>
            </w:pPr>
            <w:r>
              <w:rPr>
                <w:sz w:val="22"/>
                <w:szCs w:val="22"/>
              </w:rPr>
            </w:r>
          </w:p>
        </w:tc>
      </w:tr>
    </w:tbl>
    <w:p>
      <w:pPr>
        <w:pStyle w:val="Normal"/>
        <w:jc w:val="both"/>
        <w:rPr>
          <w:sz w:val="22"/>
          <w:szCs w:val="22"/>
        </w:rPr>
      </w:pPr>
      <w:r>
        <w:rPr>
          <w:sz w:val="22"/>
          <w:szCs w:val="22"/>
        </w:rPr>
      </w:r>
    </w:p>
    <w:p>
      <w:pPr>
        <w:pStyle w:val="Normal"/>
        <w:rPr>
          <w:sz w:val="22"/>
          <w:szCs w:val="22"/>
        </w:rPr>
      </w:pPr>
      <w:r>
        <w:rPr>
          <w:sz w:val="22"/>
          <w:szCs w:val="22"/>
        </w:rPr>
      </w:r>
      <w:bookmarkStart w:id="1" w:name="_GoBack"/>
      <w:bookmarkStart w:id="2" w:name="_GoBack"/>
      <w:bookmarkEnd w:id="2"/>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83259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5"/>
      </w:numPr>
    </w:pPr>
    <w:rPr>
      <w:rFonts w:ascii="Arial" w:hAnsi="Arial"/>
    </w:rPr>
  </w:style>
  <w:style w:type="paragraph" w:styleId="ListBullet">
    <w:name w:val="List Bullet"/>
    <w:basedOn w:val="Normal"/>
    <w:autoRedefine/>
    <w:rsid w:val="00aa0c5c"/>
    <w:pPr>
      <w:numPr>
        <w:ilvl w:val="0"/>
        <w:numId w:val="15"/>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5"/>
      </w:numPr>
      <w:jc w:val="both"/>
    </w:pPr>
    <w:rPr>
      <w:sz w:val="24"/>
      <w:szCs w:val="24"/>
    </w:rPr>
  </w:style>
  <w:style w:type="paragraph" w:styleId="ListBullet3">
    <w:name w:val="List Bullet 3"/>
    <w:basedOn w:val="Normal"/>
    <w:autoRedefine/>
    <w:unhideWhenUsed/>
    <w:rsid w:val="00aa0c5c"/>
    <w:pPr>
      <w:widowControl w:val="false"/>
      <w:numPr>
        <w:ilvl w:val="2"/>
        <w:numId w:val="15"/>
      </w:numPr>
      <w:jc w:val="both"/>
    </w:pPr>
    <w:rPr>
      <w:sz w:val="24"/>
      <w:szCs w:val="24"/>
    </w:rPr>
  </w:style>
  <w:style w:type="paragraph" w:styleId="ListBullet4">
    <w:name w:val="List Bullet 4"/>
    <w:basedOn w:val="Normal"/>
    <w:semiHidden/>
    <w:unhideWhenUsed/>
    <w:rsid w:val="00aa0c5c"/>
    <w:pPr>
      <w:numPr>
        <w:ilvl w:val="3"/>
        <w:numId w:val="15"/>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LibreOffice/24.8.3.2$Linux_X86_64 LibreOffice_project/e14c9fdd1f585efcbb2c5363087a99d20928d522</Application>
  <AppVersion>15.0000</AppVersion>
  <Pages>15</Pages>
  <Words>6139</Words>
  <Characters>44578</Characters>
  <CharactersWithSpaces>50484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2024-06-18T08:34:00Z</dcterms:created>
  <dc:creator/>
  <dc:description/>
  <dc:language>ru-RU</dc:language>
  <cp:lastModifiedBy/>
  <dcterms:modified xsi:type="dcterms:W3CDTF">2024-12-13T20:47:20Z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