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i/>
          <w:i/>
          <w:sz w:val="16"/>
          <w:szCs w:val="16"/>
          <w:u w:val="single"/>
        </w:rPr>
      </w:pPr>
      <w:bookmarkStart w:id="0" w:name="_Hlk169600634"/>
      <w:r>
        <w:rPr>
          <w:b/>
          <w:sz w:val="22"/>
          <w:szCs w:val="22"/>
        </w:rPr>
        <w:t xml:space="preserve">Контракт  </w:t>
      </w:r>
      <w:bookmarkEnd w:id="0"/>
      <w:r>
        <w:rPr>
          <w:b/>
          <w:sz w:val="22"/>
          <w:szCs w:val="22"/>
        </w:rPr>
        <w:t>№ КС1</w:t>
      </w:r>
      <w:bookmarkStart w:id="1" w:name="_Hlk169600620"/>
      <w:r>
        <w:rPr>
          <w:b/>
          <w:sz w:val="22"/>
          <w:szCs w:val="22"/>
        </w:rPr>
        <w:t>/{B}</w:t>
      </w:r>
      <w:r>
        <w:rPr>
          <w:i/>
          <w:sz w:val="16"/>
          <w:szCs w:val="16"/>
        </w:rPr>
        <w:t>/</w:t>
      </w:r>
      <w:r>
        <w:rPr>
          <w:b/>
          <w:sz w:val="22"/>
          <w:szCs w:val="22"/>
        </w:rPr>
        <w:t>25</w:t>
      </w:r>
      <w:bookmarkEnd w:id="1"/>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r>
      <w:bookmarkStart w:id="2" w:name="_Hlk169600665"/>
      <w:r>
        <w:rPr>
          <w:sz w:val="22"/>
          <w:szCs w:val="22"/>
        </w:rPr>
        <w:t>{</w:t>
      </w:r>
      <w:r>
        <w:rPr>
          <w:sz w:val="22"/>
          <w:szCs w:val="22"/>
          <w:lang w:val="en-US"/>
        </w:rPr>
        <w:t>T</w:t>
      </w:r>
      <w:r>
        <w:rPr>
          <w:sz w:val="22"/>
          <w:szCs w:val="22"/>
        </w:rPr>
        <w:t xml:space="preserve">}  </w:t>
      </w:r>
      <w:bookmarkEnd w:id="2"/>
    </w:p>
    <w:p>
      <w:pPr>
        <w:pStyle w:val="Normal"/>
        <w:jc w:val="both"/>
        <w:rPr>
          <w:sz w:val="22"/>
          <w:szCs w:val="22"/>
        </w:rPr>
      </w:pPr>
      <w:r>
        <w:rPr>
          <w:b w:val="false"/>
          <w:bCs w:val="false"/>
          <w:sz w:val="22"/>
          <w:szCs w:val="22"/>
          <w:lang w:val="en-US"/>
        </w:rPr>
        <w:t>{D}</w:t>
      </w:r>
      <w:bookmarkStart w:id="3" w:name="_Hlk169600698"/>
      <w:r>
        <w:rPr>
          <w:b/>
          <w:bCs/>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w:t>
      </w:r>
      <w:r>
        <w:rPr>
          <w:sz w:val="22"/>
          <w:szCs w:val="22"/>
          <w:lang w:val="en-US"/>
        </w:rPr>
        <w:t>U</w:t>
      </w:r>
      <w:r>
        <w:rPr>
          <w:sz w:val="22"/>
          <w:szCs w:val="22"/>
        </w:rPr>
        <w:t>} {</w:t>
      </w:r>
      <w:r>
        <w:rPr>
          <w:sz w:val="22"/>
          <w:szCs w:val="22"/>
          <w:lang w:val="en-US"/>
        </w:rPr>
        <w:t>K</w:t>
      </w:r>
      <w:r>
        <w:rPr>
          <w:sz w:val="22"/>
          <w:szCs w:val="22"/>
        </w:rPr>
        <w:t>}, действующего на основании {</w:t>
      </w:r>
      <w:r>
        <w:rPr>
          <w:sz w:val="22"/>
          <w:szCs w:val="22"/>
          <w:lang w:val="en-US"/>
        </w:rPr>
        <w:t>L</w:t>
      </w:r>
      <w:r>
        <w:rPr>
          <w:sz w:val="22"/>
          <w:szCs w:val="22"/>
        </w:rPr>
        <w:t>}</w:t>
      </w:r>
      <w:bookmarkEnd w:id="3"/>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2024 года. Срок предоставления услуги с 1 января 2024 г. по 31 декабря 2024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w:t>
      </w:r>
      <w:r>
        <w:rPr>
          <w:sz w:val="22"/>
          <w:szCs w:val="22"/>
          <w:lang w:val="en-US"/>
        </w:rPr>
        <w:t xml:space="preserve"> {M}.</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574"/>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574"/>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6 048 (шесть тысяч сорок восемь) рублей 00 копеек с учетом НДС 20% в сумме 1 008 (одна тысяча восемь) рублей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w:t>
      </w:r>
      <w:r>
        <w:rPr>
          <w:sz w:val="22"/>
          <w:szCs w:val="22"/>
          <w:lang w:val="en-US"/>
        </w:rPr>
        <w:t>{N}.</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bookmarkStart w:id="4" w:name="_Hlk153449858"/>
      <w:r>
        <w:rPr>
          <w:sz w:val="22"/>
          <w:szCs w:val="22"/>
        </w:rPr>
        <w:t>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w:t>
      </w:r>
      <w:bookmarkEnd w:id="4"/>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ОУ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{D}</w:t>
            </w:r>
          </w:p>
          <w:p>
            <w:pPr>
              <w:pStyle w:val="Normal"/>
              <w:jc w:val="both"/>
              <w:rPr>
                <w:b/>
                <w:sz w:val="22"/>
                <w:szCs w:val="22"/>
                <w:lang w:val="en-US"/>
              </w:rPr>
            </w:pPr>
            <w:r>
              <w:rPr>
                <w:b/>
                <w:sz w:val="22"/>
                <w:szCs w:val="22"/>
                <w:lang w:val="en-US"/>
              </w:rPr>
              <w:t>{C}</w:t>
            </w:r>
          </w:p>
          <w:p>
            <w:pPr>
              <w:pStyle w:val="Normal"/>
              <w:jc w:val="both"/>
              <w:rPr>
                <w:sz w:val="22"/>
                <w:szCs w:val="22"/>
                <w:lang w:val="en-US"/>
              </w:rPr>
            </w:pPr>
            <w:r>
              <w:rPr>
                <w:sz w:val="22"/>
                <w:szCs w:val="22"/>
                <w:lang w:val="en-US"/>
              </w:rPr>
              <w:t>{E}</w:t>
            </w:r>
          </w:p>
          <w:p>
            <w:pPr>
              <w:pStyle w:val="Normal"/>
              <w:jc w:val="both"/>
              <w:rPr>
                <w:sz w:val="22"/>
                <w:szCs w:val="22"/>
                <w:lang w:val="en-US"/>
              </w:rPr>
            </w:pPr>
            <w:r>
              <w:rPr>
                <w:sz w:val="22"/>
                <w:szCs w:val="22"/>
                <w:lang w:val="en-US"/>
              </w:rPr>
              <w:t>{G}</w:t>
            </w:r>
          </w:p>
          <w:p>
            <w:pPr>
              <w:pStyle w:val="Normal"/>
              <w:jc w:val="both"/>
              <w:rPr>
                <w:sz w:val="22"/>
                <w:szCs w:val="22"/>
                <w:lang w:val="en-US"/>
              </w:rPr>
            </w:pPr>
            <w:r>
              <w:rPr>
                <w:sz w:val="22"/>
                <w:szCs w:val="22"/>
                <w:lang w:val="en-US"/>
              </w:rPr>
              <w:t>e-mail: {O}</w:t>
            </w:r>
          </w:p>
          <w:p>
            <w:pPr>
              <w:pStyle w:val="Normal"/>
              <w:jc w:val="both"/>
              <w:rPr>
                <w:sz w:val="22"/>
                <w:szCs w:val="22"/>
                <w:lang w:val="en-US"/>
              </w:rPr>
            </w:pPr>
            <w:r>
              <w:rPr>
                <w:sz w:val="22"/>
                <w:szCs w:val="22"/>
              </w:rPr>
              <w:t xml:space="preserve">тел. </w:t>
            </w:r>
            <w:r>
              <w:rPr>
                <w:sz w:val="22"/>
                <w:szCs w:val="22"/>
                <w:lang w:val="en-US"/>
              </w:rPr>
              <w:t>{P}</w:t>
            </w:r>
          </w:p>
          <w:p>
            <w:pPr>
              <w:pStyle w:val="Normal"/>
              <w:jc w:val="both"/>
              <w:rPr>
                <w:sz w:val="22"/>
                <w:szCs w:val="22"/>
                <w:lang w:val="en-US"/>
              </w:rPr>
            </w:pPr>
            <w:r>
              <w:rPr>
                <w:sz w:val="22"/>
                <w:szCs w:val="22"/>
                <w:lang w:val="en-US"/>
              </w:rPr>
            </w:r>
          </w:p>
          <w:p>
            <w:pPr>
              <w:pStyle w:val="1"/>
              <w:ind w:left="0" w:right="-5"/>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lang w:val="en-US"/>
              </w:rPr>
            </w:pPr>
            <w:r>
              <w:rPr>
                <w:sz w:val="22"/>
                <w:szCs w:val="22"/>
              </w:rPr>
              <w:t xml:space="preserve">            </w:t>
            </w:r>
            <w:r>
              <w:rPr>
                <w:sz w:val="22"/>
                <w:szCs w:val="22"/>
              </w:rPr>
              <w:t xml:space="preserve">_____________ </w:t>
            </w:r>
            <w:r>
              <w:rPr>
                <w:sz w:val="22"/>
                <w:szCs w:val="22"/>
                <w:lang w:val="en-US"/>
              </w:rPr>
              <w:t>{I}</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к Контракту № КС1/{</w:t>
      </w:r>
      <w:r>
        <w:rPr>
          <w:sz w:val="22"/>
          <w:szCs w:val="22"/>
          <w:lang w:val="en-US"/>
        </w:rPr>
        <w:t>B</w:t>
      </w:r>
      <w:r>
        <w:rPr>
          <w:sz w:val="22"/>
          <w:szCs w:val="22"/>
        </w:rPr>
        <w:t>}</w:t>
      </w:r>
      <w:r>
        <w:rPr>
          <w:i/>
          <w:sz w:val="16"/>
          <w:szCs w:val="16"/>
        </w:rPr>
        <w:t>/</w:t>
      </w:r>
      <w:r>
        <w:rPr>
          <w:sz w:val="22"/>
          <w:szCs w:val="22"/>
        </w:rPr>
        <w:t>25</w:t>
      </w:r>
      <w:r>
        <w:rPr>
          <w:b/>
          <w:sz w:val="22"/>
          <w:szCs w:val="22"/>
        </w:rPr>
        <w:t xml:space="preserve"> </w:t>
      </w:r>
      <w:r>
        <w:rPr>
          <w:sz w:val="22"/>
          <w:szCs w:val="22"/>
        </w:rPr>
        <w:t xml:space="preserve">от </w:t>
      </w:r>
      <w:bookmarkStart w:id="5" w:name="_Hlk169593805"/>
      <w:r>
        <w:rPr>
          <w:sz w:val="22"/>
          <w:szCs w:val="22"/>
        </w:rPr>
        <w:t>{</w:t>
      </w:r>
      <w:r>
        <w:rPr>
          <w:sz w:val="22"/>
          <w:szCs w:val="22"/>
          <w:lang w:val="en-US"/>
        </w:rPr>
        <w:t>T</w:t>
      </w:r>
      <w:r>
        <w:rPr>
          <w:sz w:val="22"/>
          <w:szCs w:val="22"/>
        </w:rPr>
        <w:t>}</w:t>
      </w:r>
      <w:bookmarkEnd w:id="5"/>
    </w:p>
    <w:p>
      <w:pPr>
        <w:pStyle w:val="Normal"/>
        <w:rPr>
          <w:sz w:val="22"/>
          <w:szCs w:val="22"/>
        </w:rPr>
      </w:pPr>
      <w:r>
        <w:rPr>
          <w:sz w:val="22"/>
          <w:szCs w:val="22"/>
        </w:rPr>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jc w:val="center"/>
        <w:rPr>
          <w:sz w:val="22"/>
          <w:szCs w:val="22"/>
        </w:rPr>
      </w:pPr>
      <w:r>
        <w:rPr>
          <w:sz w:val="22"/>
          <w:szCs w:val="22"/>
        </w:rPr>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r>
    </w:p>
    <w:p>
      <w:pPr>
        <w:pStyle w:val="Normal"/>
        <w:jc w:val="both"/>
        <w:rPr>
          <w:b/>
          <w:sz w:val="22"/>
          <w:szCs w:val="22"/>
        </w:rPr>
      </w:pPr>
      <w:r>
        <w:rPr>
          <w:b/>
          <w:sz w:val="22"/>
          <w:szCs w:val="22"/>
        </w:rPr>
        <w:t>2. СОДЕРЖАНИЕ РАБОТ И УСЛУГ.</w:t>
      </w:r>
    </w:p>
    <w:p>
      <w:pPr>
        <w:pStyle w:val="Normal"/>
        <w:rPr>
          <w:b/>
          <w:sz w:val="22"/>
          <w:szCs w:val="22"/>
        </w:rPr>
      </w:pPr>
      <w:r>
        <w:rPr>
          <w:b/>
          <w:sz w:val="22"/>
          <w:szCs w:val="22"/>
        </w:rPr>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bl>
    <w:p>
      <w:pPr>
        <w:pStyle w:val="Normal"/>
        <w:rPr>
          <w:b/>
          <w:sz w:val="22"/>
          <w:szCs w:val="22"/>
        </w:rPr>
      </w:pPr>
      <w:r>
        <w:rPr>
          <w:b/>
          <w:sz w:val="22"/>
          <w:szCs w:val="22"/>
        </w:rPr>
      </w:r>
    </w:p>
    <w:p>
      <w:pPr>
        <w:pStyle w:val="Normal"/>
        <w:rPr>
          <w:b/>
          <w:sz w:val="22"/>
          <w:szCs w:val="22"/>
        </w:rPr>
      </w:pPr>
      <w:r>
        <w:rPr>
          <w:b/>
          <w:sz w:val="22"/>
          <w:szCs w:val="22"/>
        </w:rPr>
        <w:t>3. ТРЕБОВАНИЯ К ПРЕДОСТАВЛЯЕМЫМ УСЛУГАМ</w:t>
      </w:r>
    </w:p>
    <w:p>
      <w:pPr>
        <w:pStyle w:val="Normal"/>
        <w:rPr>
          <w:sz w:val="22"/>
          <w:szCs w:val="22"/>
        </w:rPr>
      </w:pPr>
      <w:r>
        <w:rPr>
          <w:sz w:val="22"/>
          <w:szCs w:val="22"/>
        </w:rPr>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bookmarkStart w:id="6" w:name="_GoBack"/>
      <w:bookmarkEnd w:id="6"/>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1"/>
        </w:numPr>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1"/>
        </w:numPr>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1"/>
        </w:numPr>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1"/>
        </w:numPr>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1"/>
        </w:numPr>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2"/>
        </w:numPr>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2"/>
        </w:numPr>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2"/>
        </w:numPr>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2"/>
        </w:numPr>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1"/>
        </w:numPr>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1"/>
        </w:numPr>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1"/>
        </w:numPr>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1"/>
        </w:numPr>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1"/>
        </w:numPr>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1"/>
        </w:numPr>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2"/>
        </w:numPr>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2"/>
        </w:numPr>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2"/>
        </w:numPr>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1"/>
        </w:numPr>
        <w:jc w:val="both"/>
        <w:rPr>
          <w:sz w:val="22"/>
          <w:szCs w:val="22"/>
        </w:rPr>
      </w:pPr>
      <w:r>
        <w:rPr>
          <w:sz w:val="22"/>
          <w:szCs w:val="22"/>
        </w:rPr>
        <w:t xml:space="preserve">открытый ретранслятор электронной почты (open SMTP-relay); </w:t>
      </w:r>
    </w:p>
    <w:p>
      <w:pPr>
        <w:pStyle w:val="Normal"/>
        <w:numPr>
          <w:ilvl w:val="0"/>
          <w:numId w:val="11"/>
        </w:numPr>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1"/>
        </w:numPr>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1"/>
        </w:numPr>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1"/>
        </w:numPr>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p>
    <w:p>
      <w:pPr>
        <w:pStyle w:val="Normal"/>
        <w:jc w:val="both"/>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lang w:val="en-US"/>
              </w:rPr>
            </w:pPr>
            <w:r>
              <w:rPr>
                <w:sz w:val="22"/>
                <w:szCs w:val="22"/>
              </w:rPr>
              <w:t xml:space="preserve">            </w:t>
            </w:r>
            <w:r>
              <w:rPr>
                <w:sz w:val="22"/>
                <w:szCs w:val="22"/>
              </w:rPr>
              <w:t xml:space="preserve">_____________ </w:t>
            </w:r>
            <w:r>
              <w:rPr>
                <w:sz w:val="22"/>
                <w:szCs w:val="22"/>
                <w:lang w:val="en-US"/>
              </w:rPr>
              <w:t>{I}</w:t>
            </w:r>
          </w:p>
          <w:p>
            <w:pPr>
              <w:pStyle w:val="Normal"/>
              <w:jc w:val="both"/>
              <w:rPr>
                <w:sz w:val="22"/>
                <w:szCs w:val="22"/>
              </w:rPr>
            </w:pPr>
            <w:r>
              <w:rPr>
                <w:sz w:val="22"/>
                <w:szCs w:val="22"/>
              </w:rPr>
              <w:t>М.П.</w:t>
            </w:r>
          </w:p>
        </w:tc>
      </w:tr>
    </w:tbl>
    <w:p>
      <w:pPr>
        <w:pStyle w:val="Normal"/>
        <w:jc w:val="both"/>
        <w:rPr/>
      </w:pPr>
      <w:r>
        <w:rPr/>
      </w:r>
      <w:r>
        <w:br w:type="page"/>
      </w:r>
    </w:p>
    <w:tbl>
      <w:tblPr>
        <w:tblW w:w="9342" w:type="dxa"/>
        <w:jc w:val="left"/>
        <w:tblInd w:w="581" w:type="dxa"/>
        <w:tblLayout w:type="fixed"/>
        <w:tblCellMar>
          <w:top w:w="0" w:type="dxa"/>
          <w:left w:w="108" w:type="dxa"/>
          <w:bottom w:w="0" w:type="dxa"/>
          <w:right w:w="108" w:type="dxa"/>
        </w:tblCellMar>
        <w:tblLook w:val="0000" w:noHBand="0" w:noVBand="0" w:firstColumn="0" w:lastRow="0" w:lastColumn="0" w:firstRow="0"/>
      </w:tblPr>
      <w:tblGrid>
        <w:gridCol w:w="3379"/>
        <w:gridCol w:w="718"/>
        <w:gridCol w:w="5245"/>
      </w:tblGrid>
      <w:tr>
        <w:trPr/>
        <w:tc>
          <w:tcPr>
            <w:tcW w:w="3379" w:type="dxa"/>
            <w:tcBorders/>
          </w:tcPr>
          <w:p>
            <w:pPr>
              <w:pStyle w:val="Noeeu"/>
              <w:pageBreakBefore/>
              <w:widowControl/>
              <w:spacing w:before="0" w:after="0"/>
              <w:jc w:val="both"/>
              <w:rPr>
                <w:spacing w:val="0"/>
                <w:kern w:val="0"/>
                <w:sz w:val="22"/>
                <w:szCs w:val="22"/>
                <w:lang w:val="ru-RU"/>
              </w:rPr>
            </w:pPr>
            <w:r>
              <w:rPr>
                <w:spacing w:val="0"/>
                <w:kern w:val="0"/>
                <w:sz w:val="22"/>
                <w:szCs w:val="22"/>
                <w:lang w:val="ru-RU"/>
              </w:rPr>
            </w:r>
          </w:p>
        </w:tc>
        <w:tc>
          <w:tcPr>
            <w:tcW w:w="718" w:type="dxa"/>
            <w:tcBorders/>
          </w:tcPr>
          <w:p>
            <w:pPr>
              <w:pStyle w:val="Noeeu"/>
              <w:widowControl/>
              <w:jc w:val="both"/>
              <w:rPr>
                <w:spacing w:val="0"/>
                <w:kern w:val="0"/>
                <w:sz w:val="22"/>
                <w:szCs w:val="22"/>
                <w:lang w:val="ru-RU"/>
              </w:rPr>
            </w:pPr>
            <w:r>
              <w:rPr>
                <w:spacing w:val="0"/>
                <w:kern w:val="0"/>
                <w:sz w:val="22"/>
                <w:szCs w:val="22"/>
                <w:lang w:val="ru-RU"/>
              </w:rPr>
            </w:r>
          </w:p>
        </w:tc>
        <w:tc>
          <w:tcPr>
            <w:tcW w:w="5245"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9" w:type="dxa"/>
            <w:tcBorders/>
          </w:tcPr>
          <w:p>
            <w:pPr>
              <w:pStyle w:val="Noeeu"/>
              <w:widowControl/>
              <w:jc w:val="both"/>
              <w:rPr>
                <w:spacing w:val="0"/>
                <w:kern w:val="0"/>
                <w:sz w:val="22"/>
                <w:szCs w:val="22"/>
                <w:lang w:val="ru-RU"/>
              </w:rPr>
            </w:pPr>
            <w:r>
              <w:rPr>
                <w:spacing w:val="0"/>
                <w:kern w:val="0"/>
                <w:sz w:val="22"/>
                <w:szCs w:val="22"/>
                <w:lang w:val="ru-RU"/>
              </w:rPr>
            </w:r>
          </w:p>
        </w:tc>
        <w:tc>
          <w:tcPr>
            <w:tcW w:w="718" w:type="dxa"/>
            <w:tcBorders/>
          </w:tcPr>
          <w:p>
            <w:pPr>
              <w:pStyle w:val="Noeeu"/>
              <w:widowControl/>
              <w:jc w:val="both"/>
              <w:rPr>
                <w:spacing w:val="0"/>
                <w:kern w:val="0"/>
                <w:sz w:val="22"/>
                <w:szCs w:val="22"/>
                <w:lang w:val="ru-RU"/>
              </w:rPr>
            </w:pPr>
            <w:r>
              <w:rPr>
                <w:spacing w:val="0"/>
                <w:kern w:val="0"/>
                <w:sz w:val="22"/>
                <w:szCs w:val="22"/>
                <w:lang w:val="ru-RU"/>
              </w:rPr>
            </w:r>
          </w:p>
        </w:tc>
        <w:tc>
          <w:tcPr>
            <w:tcW w:w="5245" w:type="dxa"/>
            <w:tcBorders/>
          </w:tcPr>
          <w:p>
            <w:pPr>
              <w:pStyle w:val="Noeeu"/>
              <w:widowControl/>
              <w:jc w:val="right"/>
              <w:rPr>
                <w:spacing w:val="0"/>
                <w:kern w:val="0"/>
                <w:sz w:val="22"/>
                <w:szCs w:val="22"/>
                <w:lang w:val="ru-RU"/>
              </w:rPr>
            </w:pPr>
            <w:r>
              <w:rPr>
                <w:spacing w:val="0"/>
                <w:kern w:val="0"/>
                <w:sz w:val="22"/>
                <w:szCs w:val="22"/>
                <w:lang w:val="ru-RU"/>
              </w:rPr>
              <w:t xml:space="preserve">к Контракту № </w:t>
            </w:r>
            <w:bookmarkStart w:id="7" w:name="_Hlk167183883"/>
            <w:r>
              <w:rPr>
                <w:sz w:val="22"/>
                <w:szCs w:val="22"/>
                <w:lang w:val="ru-RU"/>
              </w:rPr>
              <w:t>КС1/{</w:t>
            </w:r>
            <w:r>
              <w:rPr>
                <w:sz w:val="22"/>
                <w:szCs w:val="22"/>
              </w:rPr>
              <w:t>B</w:t>
            </w:r>
            <w:r>
              <w:rPr>
                <w:sz w:val="22"/>
                <w:szCs w:val="22"/>
                <w:lang w:val="ru-RU"/>
              </w:rPr>
              <w:t>}</w:t>
            </w:r>
            <w:r>
              <w:rPr>
                <w:i/>
                <w:sz w:val="16"/>
                <w:szCs w:val="16"/>
                <w:lang w:val="ru-RU"/>
              </w:rPr>
              <w:t>/</w:t>
            </w:r>
            <w:r>
              <w:rPr>
                <w:sz w:val="22"/>
                <w:szCs w:val="22"/>
                <w:lang w:val="ru-RU"/>
              </w:rPr>
              <w:t>25</w:t>
            </w:r>
            <w:r>
              <w:rPr>
                <w:b/>
                <w:sz w:val="22"/>
                <w:szCs w:val="22"/>
                <w:lang w:val="ru-RU"/>
              </w:rPr>
              <w:t xml:space="preserve"> </w:t>
            </w:r>
            <w:r>
              <w:rPr>
                <w:sz w:val="22"/>
                <w:szCs w:val="22"/>
                <w:lang w:val="ru-RU"/>
              </w:rPr>
              <w:t>от {</w:t>
            </w:r>
            <w:r>
              <w:rPr>
                <w:sz w:val="22"/>
                <w:szCs w:val="22"/>
              </w:rPr>
              <w:t>T</w:t>
            </w:r>
            <w:r>
              <w:rPr>
                <w:sz w:val="22"/>
                <w:szCs w:val="22"/>
                <w:lang w:val="ru-RU"/>
              </w:rPr>
              <w:t>}</w:t>
            </w:r>
            <w:bookmarkEnd w:id="7"/>
          </w:p>
        </w:tc>
      </w:tr>
      <w:tr>
        <w:trPr/>
        <w:tc>
          <w:tcPr>
            <w:tcW w:w="3379" w:type="dxa"/>
            <w:tcBorders/>
          </w:tcPr>
          <w:p>
            <w:pPr>
              <w:pStyle w:val="Noeeu"/>
              <w:widowControl/>
              <w:jc w:val="both"/>
              <w:rPr>
                <w:spacing w:val="0"/>
                <w:kern w:val="0"/>
                <w:sz w:val="22"/>
                <w:szCs w:val="22"/>
                <w:lang w:val="ru-RU"/>
              </w:rPr>
            </w:pPr>
            <w:r>
              <w:rPr>
                <w:spacing w:val="0"/>
                <w:kern w:val="0"/>
                <w:sz w:val="22"/>
                <w:szCs w:val="22"/>
                <w:lang w:val="ru-RU"/>
              </w:rPr>
            </w:r>
          </w:p>
        </w:tc>
        <w:tc>
          <w:tcPr>
            <w:tcW w:w="718" w:type="dxa"/>
            <w:tcBorders/>
          </w:tcPr>
          <w:p>
            <w:pPr>
              <w:pStyle w:val="Noeeu"/>
              <w:widowControl/>
              <w:jc w:val="both"/>
              <w:rPr>
                <w:spacing w:val="0"/>
                <w:kern w:val="0"/>
                <w:sz w:val="22"/>
                <w:szCs w:val="22"/>
                <w:lang w:val="ru-RU"/>
              </w:rPr>
            </w:pPr>
            <w:r>
              <w:rPr>
                <w:spacing w:val="0"/>
                <w:kern w:val="0"/>
                <w:sz w:val="22"/>
                <w:szCs w:val="22"/>
                <w:lang w:val="ru-RU"/>
              </w:rPr>
            </w:r>
          </w:p>
        </w:tc>
        <w:tc>
          <w:tcPr>
            <w:tcW w:w="5245"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 xml:space="preserve">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w:t>
      </w:r>
      <w:bookmarkStart w:id="8" w:name="_Hlk169593991"/>
      <w:r>
        <w:rPr>
          <w:sz w:val="22"/>
          <w:szCs w:val="22"/>
        </w:rPr>
        <w:t>{</w:t>
      </w:r>
      <w:r>
        <w:rPr>
          <w:sz w:val="22"/>
          <w:szCs w:val="22"/>
          <w:lang w:val="en-US"/>
        </w:rPr>
        <w:t>H</w:t>
      </w:r>
      <w:r>
        <w:rPr>
          <w:sz w:val="22"/>
          <w:szCs w:val="22"/>
        </w:rPr>
        <w:t>} {</w:t>
      </w:r>
      <w:r>
        <w:rPr>
          <w:sz w:val="22"/>
          <w:szCs w:val="22"/>
          <w:lang w:val="en-US"/>
        </w:rPr>
        <w:t>C</w:t>
      </w:r>
      <w:r>
        <w:rPr>
          <w:sz w:val="22"/>
          <w:szCs w:val="22"/>
        </w:rPr>
        <w:t>} {</w:t>
      </w:r>
      <w:r>
        <w:rPr>
          <w:sz w:val="22"/>
          <w:szCs w:val="22"/>
          <w:lang w:val="en-US"/>
        </w:rPr>
        <w:t>K</w:t>
      </w:r>
      <w:r>
        <w:rPr>
          <w:sz w:val="22"/>
          <w:szCs w:val="22"/>
        </w:rPr>
        <w:t xml:space="preserve">}, </w:t>
      </w:r>
      <w:bookmarkEnd w:id="8"/>
      <w:r>
        <w:rPr>
          <w:sz w:val="22"/>
          <w:szCs w:val="22"/>
        </w:rPr>
        <w:t>с другой стороны, удостоверяем, что Сторонами достигнуто соглашение о предоставлении ЗАКАЗЧИКУ по Контрактной цене следующего пакета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25"/>
        <w:gridCol w:w="1424"/>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24"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3"/>
              </w:numPr>
              <w:rPr>
                <w:b/>
                <w:bCs/>
                <w:sz w:val="22"/>
                <w:szCs w:val="22"/>
                <w:lang w:val="ru-RU"/>
              </w:rPr>
            </w:pPr>
            <w:r>
              <w:rPr>
                <w:b/>
                <w:bCs/>
                <w:sz w:val="22"/>
                <w:szCs w:val="22"/>
                <w:lang w:val="ru-RU"/>
              </w:rPr>
            </w:r>
          </w:p>
        </w:tc>
        <w:tc>
          <w:tcPr>
            <w:tcW w:w="5125"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24"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Стоимость Контракта составляет 6 048 (шесть тысяч сорок восемь) рублей 00 копеек с учетом НДС 20% в сумме 1 008 (одна тысяча восемь) рублей 00 копеек.</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76"/>
        <w:gridCol w:w="5360"/>
      </w:tblGrid>
      <w:tr>
        <w:trPr>
          <w:trHeight w:val="429"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76"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60"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76"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60"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{I}</w:t>
            </w:r>
          </w:p>
          <w:p>
            <w:pPr>
              <w:pStyle w:val="Normal"/>
              <w:rPr/>
            </w:pPr>
            <w:r>
              <w:rPr/>
            </w:r>
          </w:p>
        </w:tc>
      </w:tr>
      <w:tr>
        <w:trPr/>
        <w:tc>
          <w:tcPr>
            <w:tcW w:w="4537" w:type="dxa"/>
            <w:tcBorders/>
          </w:tcPr>
          <w:p>
            <w:pPr>
              <w:pStyle w:val="Noeeu"/>
              <w:widowControl/>
              <w:jc w:val="right"/>
              <w:rPr>
                <w:spacing w:val="0"/>
                <w:kern w:val="0"/>
                <w:sz w:val="22"/>
                <w:szCs w:val="22"/>
                <w:lang w:val="ru-RU"/>
              </w:rPr>
            </w:pPr>
            <w:r>
              <w:rPr>
                <w:spacing w:val="0"/>
                <w:kern w:val="0"/>
                <w:sz w:val="22"/>
                <w:szCs w:val="22"/>
                <w:lang w:val="ru-RU"/>
              </w:rPr>
            </w:r>
          </w:p>
        </w:tc>
        <w:tc>
          <w:tcPr>
            <w:tcW w:w="276"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60" w:type="dxa"/>
            <w:tcBorders/>
          </w:tcPr>
          <w:p>
            <w:pPr>
              <w:pStyle w:val="Noeeu"/>
              <w:widowControl/>
              <w:jc w:val="right"/>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center"/>
              <w:rPr>
                <w:spacing w:val="0"/>
                <w:kern w:val="0"/>
                <w:sz w:val="22"/>
                <w:szCs w:val="22"/>
                <w:lang w:val="ru-RU"/>
              </w:rPr>
            </w:pPr>
            <w:r>
              <w:rPr>
                <w:spacing w:val="0"/>
                <w:kern w:val="0"/>
                <w:sz w:val="22"/>
                <w:szCs w:val="22"/>
                <w:lang w:val="ru-RU"/>
              </w:rPr>
            </w:r>
          </w:p>
        </w:tc>
        <w:tc>
          <w:tcPr>
            <w:tcW w:w="276" w:type="dxa"/>
            <w:vMerge w:val="continue"/>
            <w:tcBorders/>
          </w:tcPr>
          <w:p>
            <w:pPr>
              <w:pStyle w:val="Noeeu"/>
              <w:widowControl/>
              <w:jc w:val="center"/>
              <w:rPr>
                <w:spacing w:val="0"/>
                <w:kern w:val="0"/>
                <w:sz w:val="22"/>
                <w:szCs w:val="22"/>
                <w:lang w:val="ru-RU"/>
              </w:rPr>
            </w:pPr>
            <w:r>
              <w:rPr>
                <w:spacing w:val="0"/>
                <w:kern w:val="0"/>
                <w:sz w:val="22"/>
                <w:szCs w:val="22"/>
                <w:lang w:val="ru-RU"/>
              </w:rPr>
            </w:r>
          </w:p>
        </w:tc>
        <w:tc>
          <w:tcPr>
            <w:tcW w:w="5360" w:type="dxa"/>
            <w:tcBorders/>
          </w:tcPr>
          <w:p>
            <w:pPr>
              <w:pStyle w:val="Noeeu"/>
              <w:widowControl/>
              <w:jc w:val="center"/>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p>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к Контракту №  КС1/{</w:t>
      </w:r>
      <w:r>
        <w:rPr>
          <w:b/>
          <w:sz w:val="22"/>
          <w:szCs w:val="22"/>
          <w:lang w:val="en-US"/>
        </w:rPr>
        <w:t>B</w:t>
      </w:r>
      <w:r>
        <w:rPr>
          <w:b/>
          <w:sz w:val="22"/>
          <w:szCs w:val="22"/>
        </w:rPr>
        <w:t>}</w:t>
      </w:r>
      <w:r>
        <w:rPr>
          <w:i/>
          <w:sz w:val="16"/>
          <w:szCs w:val="16"/>
        </w:rPr>
        <w:t>/</w:t>
      </w:r>
      <w:r>
        <w:rPr>
          <w:b/>
          <w:sz w:val="22"/>
          <w:szCs w:val="22"/>
        </w:rPr>
        <w:t>25 от {</w:t>
      </w:r>
      <w:r>
        <w:rPr>
          <w:b/>
          <w:sz w:val="22"/>
          <w:szCs w:val="22"/>
          <w:lang w:val="en-US"/>
        </w:rPr>
        <w:t>T</w:t>
      </w:r>
      <w:r>
        <w:rPr>
          <w:b/>
          <w:sz w:val="22"/>
          <w:szCs w:val="22"/>
        </w:rPr>
        <w:t xml:space="preserve">}   </w:t>
      </w:r>
    </w:p>
    <w:p>
      <w:pPr>
        <w:pStyle w:val="Normal"/>
        <w:jc w:val="center"/>
        <w:rPr>
          <w:b/>
          <w:sz w:val="22"/>
          <w:szCs w:val="22"/>
        </w:rPr>
      </w:pPr>
      <w:r>
        <w:rPr>
          <w:b/>
          <w:sz w:val="22"/>
          <w:szCs w:val="22"/>
        </w:rPr>
      </w:r>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r>
      <w:bookmarkStart w:id="9" w:name="_Hlk169594243"/>
      <w:r>
        <w:rPr>
          <w:b/>
          <w:sz w:val="22"/>
          <w:szCs w:val="22"/>
        </w:rPr>
        <w:t>{</w:t>
      </w:r>
      <w:r>
        <w:rPr>
          <w:b/>
          <w:sz w:val="22"/>
          <w:szCs w:val="22"/>
          <w:lang w:val="en-US"/>
        </w:rPr>
        <w:t>T</w:t>
      </w:r>
      <w:r>
        <w:rPr>
          <w:b/>
          <w:sz w:val="22"/>
          <w:szCs w:val="22"/>
        </w:rPr>
        <w:t xml:space="preserve">}   </w:t>
      </w:r>
      <w:bookmarkEnd w:id="9"/>
    </w:p>
    <w:p>
      <w:pPr>
        <w:pStyle w:val="Normal"/>
        <w:ind w:firstLine="708"/>
        <w:jc w:val="both"/>
        <w:rPr>
          <w:sz w:val="22"/>
          <w:szCs w:val="22"/>
        </w:rPr>
      </w:pPr>
      <w:bookmarkStart w:id="10" w:name="_Hlk169594274"/>
      <w:r>
        <w:rPr>
          <w:sz w:val="22"/>
          <w:szCs w:val="22"/>
        </w:rPr>
        <w:t>{</w:t>
      </w:r>
      <w:r>
        <w:rPr>
          <w:sz w:val="22"/>
          <w:szCs w:val="22"/>
          <w:lang w:val="en-US"/>
        </w:rPr>
        <w:t>D</w:t>
      </w:r>
      <w:r>
        <w:rPr>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w:t>
      </w:r>
      <w:r>
        <w:rPr>
          <w:sz w:val="22"/>
          <w:szCs w:val="22"/>
          <w:lang w:val="en-US"/>
        </w:rPr>
        <w:t>H</w:t>
      </w:r>
      <w:r>
        <w:rPr>
          <w:sz w:val="22"/>
          <w:szCs w:val="22"/>
        </w:rPr>
        <w:t>} {</w:t>
      </w:r>
      <w:r>
        <w:rPr>
          <w:sz w:val="22"/>
          <w:szCs w:val="22"/>
          <w:lang w:val="en-US"/>
        </w:rPr>
        <w:t>K</w:t>
      </w:r>
      <w:r>
        <w:rPr>
          <w:sz w:val="22"/>
          <w:szCs w:val="22"/>
        </w:rPr>
        <w:t>}, действующего на основании {</w:t>
      </w:r>
      <w:r>
        <w:rPr>
          <w:sz w:val="22"/>
          <w:szCs w:val="22"/>
          <w:lang w:val="en-US"/>
        </w:rPr>
        <w:t>L</w:t>
      </w:r>
      <w:r>
        <w:rPr>
          <w:sz w:val="22"/>
          <w:szCs w:val="22"/>
        </w:rPr>
        <w:t>}</w:t>
      </w:r>
      <w:bookmarkEnd w:id="10"/>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5"/>
        </w:numPr>
        <w:rPr>
          <w:sz w:val="22"/>
          <w:szCs w:val="22"/>
        </w:rPr>
      </w:pPr>
      <w:r>
        <w:rPr>
          <w:sz w:val="22"/>
          <w:szCs w:val="22"/>
        </w:rPr>
        <w:t>ТЕРМИНЫ И ОПРЕДЕЛЕНИЯ</w:t>
      </w:r>
    </w:p>
    <w:p>
      <w:pPr>
        <w:pStyle w:val="ListBullet2"/>
        <w:numPr>
          <w:ilvl w:val="1"/>
          <w:numId w:val="15"/>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5"/>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5"/>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5"/>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5"/>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5"/>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5"/>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5"/>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5"/>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5"/>
        </w:numPr>
        <w:ind w:hanging="431" w:left="431"/>
        <w:rPr>
          <w:sz w:val="22"/>
          <w:szCs w:val="22"/>
        </w:rPr>
      </w:pPr>
      <w:r>
        <w:rPr>
          <w:sz w:val="22"/>
          <w:szCs w:val="22"/>
        </w:rPr>
        <w:t>ПРЕДМЕТ СОГЛАШЕНИЯ</w:t>
      </w:r>
    </w:p>
    <w:p>
      <w:pPr>
        <w:pStyle w:val="ListBullet2"/>
        <w:numPr>
          <w:ilvl w:val="1"/>
          <w:numId w:val="15"/>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5"/>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5"/>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5"/>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5"/>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5"/>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5"/>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5"/>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5"/>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5"/>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5"/>
        </w:numPr>
        <w:rPr>
          <w:sz w:val="22"/>
          <w:szCs w:val="22"/>
        </w:rPr>
      </w:pPr>
      <w:r>
        <w:rPr>
          <w:sz w:val="22"/>
          <w:szCs w:val="22"/>
        </w:rPr>
        <w:t>ВЗАИМОДЕЙСТВИЕ С УДОСТОВЕРЯЮЩИМ ЦЕНТРОМ И ОПЕРАТОРОМ</w:t>
      </w:r>
    </w:p>
    <w:p>
      <w:pPr>
        <w:pStyle w:val="ListBullet2"/>
        <w:numPr>
          <w:ilvl w:val="1"/>
          <w:numId w:val="15"/>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5"/>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5"/>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5"/>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5"/>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5"/>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5"/>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5"/>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5"/>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5"/>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5"/>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5"/>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5"/>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5"/>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5"/>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5"/>
        </w:numPr>
        <w:rPr>
          <w:sz w:val="22"/>
          <w:szCs w:val="22"/>
        </w:rPr>
      </w:pPr>
      <w:r>
        <w:rPr>
          <w:sz w:val="22"/>
          <w:szCs w:val="22"/>
        </w:rPr>
        <w:t>ПОРЯДОК ПРЯМОГО ОБМЕНА НЕФОРМАЛИЗОВАННЫМИ ДОКУМЕНТАМИ</w:t>
      </w:r>
    </w:p>
    <w:p>
      <w:pPr>
        <w:pStyle w:val="ListBullet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5"/>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5"/>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5"/>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5"/>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5"/>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5"/>
        </w:numPr>
        <w:rPr>
          <w:sz w:val="22"/>
          <w:szCs w:val="22"/>
        </w:rPr>
      </w:pPr>
      <w:r>
        <w:rPr>
          <w:sz w:val="22"/>
          <w:szCs w:val="22"/>
        </w:rPr>
        <w:t>ПРОЧИЕ УСЛОВИЯ</w:t>
      </w:r>
    </w:p>
    <w:p>
      <w:pPr>
        <w:pStyle w:val="ListBullet2"/>
        <w:numPr>
          <w:ilvl w:val="1"/>
          <w:numId w:val="15"/>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5"/>
        </w:numPr>
        <w:rPr>
          <w:sz w:val="22"/>
          <w:szCs w:val="22"/>
        </w:rPr>
      </w:pPr>
      <w:r>
        <w:rPr>
          <w:sz w:val="22"/>
          <w:szCs w:val="22"/>
        </w:rPr>
        <w:t>РАЗРЕШЕНИЕ СПОРОВ</w:t>
      </w:r>
    </w:p>
    <w:p>
      <w:pPr>
        <w:pStyle w:val="ListBullet2"/>
        <w:numPr>
          <w:ilvl w:val="1"/>
          <w:numId w:val="15"/>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5"/>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5"/>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5"/>
        </w:numPr>
        <w:rPr>
          <w:sz w:val="22"/>
          <w:szCs w:val="22"/>
        </w:rPr>
      </w:pPr>
      <w:r>
        <w:rPr>
          <w:sz w:val="22"/>
          <w:szCs w:val="22"/>
        </w:rPr>
        <w:t>ДЕЙСТВИЕ СОГЛАШЕНИЯ И ПОРЯДОК ЕГО ИЗМЕНЕНИЯ</w:t>
      </w:r>
    </w:p>
    <w:p>
      <w:pPr>
        <w:pStyle w:val="ListBullet2"/>
        <w:numPr>
          <w:ilvl w:val="1"/>
          <w:numId w:val="15"/>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5"/>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5"/>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5"/>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{D}</w:t>
            </w:r>
          </w:p>
          <w:p>
            <w:pPr>
              <w:pStyle w:val="Normal"/>
              <w:jc w:val="both"/>
              <w:rPr>
                <w:b/>
                <w:sz w:val="22"/>
                <w:szCs w:val="22"/>
                <w:lang w:val="en-US"/>
              </w:rPr>
            </w:pPr>
            <w:r>
              <w:rPr>
                <w:b/>
                <w:sz w:val="22"/>
                <w:szCs w:val="22"/>
                <w:lang w:val="en-US"/>
              </w:rPr>
              <w:t>{C}</w:t>
            </w:r>
          </w:p>
          <w:p>
            <w:pPr>
              <w:pStyle w:val="Normal"/>
              <w:jc w:val="both"/>
              <w:rPr>
                <w:sz w:val="22"/>
                <w:szCs w:val="22"/>
                <w:lang w:val="en-US"/>
              </w:rPr>
            </w:pPr>
            <w:r>
              <w:rPr>
                <w:sz w:val="22"/>
                <w:szCs w:val="22"/>
                <w:lang w:val="en-US"/>
              </w:rPr>
              <w:t>{E}</w:t>
            </w:r>
          </w:p>
          <w:p>
            <w:pPr>
              <w:pStyle w:val="Normal"/>
              <w:jc w:val="both"/>
              <w:rPr>
                <w:sz w:val="22"/>
                <w:szCs w:val="22"/>
                <w:lang w:val="en-US"/>
              </w:rPr>
            </w:pPr>
            <w:r>
              <w:rPr>
                <w:sz w:val="22"/>
                <w:szCs w:val="22"/>
                <w:lang w:val="en-US"/>
              </w:rPr>
              <w:t>{G}</w:t>
            </w:r>
          </w:p>
          <w:p>
            <w:pPr>
              <w:pStyle w:val="Normal"/>
              <w:jc w:val="both"/>
              <w:rPr>
                <w:sz w:val="22"/>
                <w:szCs w:val="22"/>
                <w:lang w:val="en-US"/>
              </w:rPr>
            </w:pPr>
            <w:r>
              <w:rPr>
                <w:sz w:val="22"/>
                <w:szCs w:val="22"/>
                <w:lang w:val="en-US"/>
              </w:rPr>
              <w:t>e-mail: {O}</w:t>
            </w:r>
          </w:p>
          <w:p>
            <w:pPr>
              <w:pStyle w:val="Normal"/>
              <w:jc w:val="both"/>
              <w:rPr>
                <w:sz w:val="22"/>
                <w:szCs w:val="22"/>
                <w:lang w:val="en-US"/>
              </w:rPr>
            </w:pPr>
            <w:r>
              <w:rPr>
                <w:sz w:val="22"/>
                <w:szCs w:val="22"/>
              </w:rPr>
              <w:t xml:space="preserve">тел. </w:t>
            </w:r>
            <w:r>
              <w:rPr>
                <w:sz w:val="22"/>
                <w:szCs w:val="22"/>
                <w:lang w:val="en-US"/>
              </w:rPr>
              <w:t>{P}</w:t>
            </w:r>
          </w:p>
          <w:p>
            <w:pPr>
              <w:pStyle w:val="Normal"/>
              <w:jc w:val="both"/>
              <w:rPr>
                <w:sz w:val="22"/>
                <w:szCs w:val="22"/>
                <w:lang w:val="en-US"/>
              </w:rPr>
            </w:pPr>
            <w:r>
              <w:rPr>
                <w:sz w:val="22"/>
                <w:szCs w:val="22"/>
                <w:lang w:val="en-US"/>
              </w:rPr>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19"/>
        <w:gridCol w:w="5331"/>
      </w:tblGrid>
      <w:tr>
        <w:trPr/>
        <w:tc>
          <w:tcPr>
            <w:tcW w:w="4819"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p>
            <w:pPr>
              <w:pStyle w:val="Normal"/>
              <w:jc w:val="both"/>
              <w:rPr>
                <w:b/>
                <w:sz w:val="22"/>
                <w:szCs w:val="22"/>
              </w:rPr>
            </w:pPr>
            <w:r>
              <w:rPr>
                <w:b/>
                <w:sz w:val="22"/>
                <w:szCs w:val="22"/>
              </w:rPr>
            </w:r>
          </w:p>
        </w:tc>
        <w:tc>
          <w:tcPr>
            <w:tcW w:w="5331" w:type="dxa"/>
            <w:tcBorders/>
          </w:tcPr>
          <w:p>
            <w:pPr>
              <w:pStyle w:val="Normal"/>
              <w:rPr>
                <w:b/>
                <w:sz w:val="22"/>
                <w:szCs w:val="22"/>
              </w:rPr>
            </w:pPr>
            <w:r>
              <w:rPr>
                <w:b/>
                <w:sz w:val="22"/>
                <w:szCs w:val="22"/>
              </w:rPr>
              <w:t>ЗАКАЗЧИК</w:t>
            </w:r>
          </w:p>
          <w:p>
            <w:pPr>
              <w:pStyle w:val="Normal"/>
              <w:jc w:val="both"/>
              <w:rPr>
                <w:sz w:val="22"/>
                <w:szCs w:val="22"/>
              </w:rPr>
            </w:pPr>
            <w:r>
              <w:rPr>
                <w:sz w:val="22"/>
                <w:szCs w:val="22"/>
              </w:rPr>
              <w:t>{</w:t>
            </w:r>
            <w:r>
              <w:rPr>
                <w:sz w:val="22"/>
                <w:szCs w:val="22"/>
                <w:lang w:val="en-US"/>
              </w:rPr>
              <w:t>H</w:t>
            </w:r>
            <w:r>
              <w:rPr>
                <w:sz w:val="22"/>
                <w:szCs w:val="22"/>
              </w:rPr>
              <w:t>} {</w:t>
            </w:r>
            <w:r>
              <w:rPr>
                <w:sz w:val="22"/>
                <w:szCs w:val="22"/>
                <w:lang w:val="en-US"/>
              </w:rPr>
              <w:t>C</w:t>
            </w:r>
            <w:r>
              <w:rPr>
                <w:sz w:val="22"/>
                <w:szCs w:val="22"/>
              </w:rPr>
              <w:t>}</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 {</w:t>
            </w:r>
            <w:r>
              <w:rPr>
                <w:sz w:val="22"/>
                <w:szCs w:val="22"/>
                <w:lang w:val="en-US"/>
              </w:rPr>
              <w:t>I</w:t>
            </w:r>
            <w:r>
              <w:rPr>
                <w:sz w:val="22"/>
                <w:szCs w:val="22"/>
              </w:rPr>
              <w:t>}</w:t>
            </w:r>
          </w:p>
          <w:p>
            <w:pPr>
              <w:pStyle w:val="Normal"/>
              <w:rPr>
                <w:b/>
                <w:sz w:val="22"/>
                <w:szCs w:val="22"/>
              </w:rPr>
            </w:pPr>
            <w:r>
              <w:rPr>
                <w:b/>
                <w:sz w:val="22"/>
                <w:szCs w:val="22"/>
              </w:rPr>
              <w:t>М.П.</w:t>
            </w:r>
          </w:p>
        </w:tc>
      </w:tr>
    </w:tbl>
    <w:p>
      <w:pPr>
        <w:pStyle w:val="Normal"/>
        <w:jc w:val="both"/>
        <w:rPr>
          <w:sz w:val="22"/>
          <w:szCs w:val="22"/>
        </w:rPr>
      </w:pPr>
      <w:r>
        <w:rPr>
          <w:sz w:val="22"/>
          <w:szCs w:val="22"/>
        </w:rPr>
      </w:r>
    </w:p>
    <w:p>
      <w:pPr>
        <w:pStyle w:val="Normal"/>
        <w:rPr>
          <w:sz w:val="22"/>
          <w:szCs w:val="22"/>
        </w:rPr>
      </w:pPr>
      <w:r>
        <w:rPr>
          <w:sz w:val="22"/>
          <w:szCs w:val="22"/>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709"/>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574"/>
        </w:tabs>
        <w:ind w:left="574"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859c4"/>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character" w:styleId="UnresolvedMention">
    <w:name w:val="Unresolved Mention"/>
    <w:basedOn w:val="DefaultParagraphFont"/>
    <w:uiPriority w:val="99"/>
    <w:semiHidden/>
    <w:unhideWhenUsed/>
    <w:qFormat/>
    <w:rsid w:val="004633ff"/>
    <w:rPr>
      <w:color w:val="605E5C"/>
      <w:shd w:fill="E1DFDD" w:val="clear"/>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5"/>
      </w:numPr>
    </w:pPr>
    <w:rPr>
      <w:rFonts w:ascii="Arial" w:hAnsi="Arial"/>
    </w:rPr>
  </w:style>
  <w:style w:type="paragraph" w:styleId="ListBullet">
    <w:name w:val="List Bullet"/>
    <w:basedOn w:val="Normal"/>
    <w:autoRedefine/>
    <w:rsid w:val="00aa0c5c"/>
    <w:pPr>
      <w:numPr>
        <w:ilvl w:val="0"/>
        <w:numId w:val="15"/>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5"/>
      </w:numPr>
      <w:jc w:val="both"/>
    </w:pPr>
    <w:rPr>
      <w:sz w:val="24"/>
      <w:szCs w:val="24"/>
    </w:rPr>
  </w:style>
  <w:style w:type="paragraph" w:styleId="ListBullet3">
    <w:name w:val="List Bullet 3"/>
    <w:basedOn w:val="Normal"/>
    <w:autoRedefine/>
    <w:unhideWhenUsed/>
    <w:rsid w:val="00aa0c5c"/>
    <w:pPr>
      <w:widowControl w:val="false"/>
      <w:numPr>
        <w:ilvl w:val="2"/>
        <w:numId w:val="15"/>
      </w:numPr>
      <w:jc w:val="both"/>
    </w:pPr>
    <w:rPr>
      <w:sz w:val="24"/>
      <w:szCs w:val="24"/>
    </w:rPr>
  </w:style>
  <w:style w:type="paragraph" w:styleId="ListBullet4">
    <w:name w:val="List Bullet 4"/>
    <w:basedOn w:val="Normal"/>
    <w:semiHidden/>
    <w:unhideWhenUsed/>
    <w:rsid w:val="00aa0c5c"/>
    <w:pPr>
      <w:numPr>
        <w:ilvl w:val="3"/>
        <w:numId w:val="15"/>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LibreOffice/24.8.3.2$Linux_X86_64 LibreOffice_project/e14c9fdd1f585efcbb2c5363087a99d20928d522</Application>
  <AppVersion>15.0000</AppVersion>
  <Pages>15</Pages>
  <Words>6054</Words>
  <Characters>43870</Characters>
  <CharactersWithSpaces>49688</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2024-05-21T07:55:00Z</dcterms:created>
  <dc:creator/>
  <dc:description/>
  <dc:language>ru-RU</dc:language>
  <cp:lastModifiedBy/>
  <dcterms:modified xsi:type="dcterms:W3CDTF">2024-12-13T20:46:36Z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