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>
      <w:pPr>
        <w:pStyle w:val="Normal"/>
        <w:jc w:val="center"/>
        <w:rPr>
          <w:sz w:val="16"/>
          <w:szCs w:val="16"/>
          <w:u w:val="single"/>
        </w:rPr>
      </w:pPr>
      <w:r>
        <w:rPr>
          <w:b/>
          <w:sz w:val="22"/>
          <w:szCs w:val="22"/>
        </w:rPr>
        <w:t>{</w:t>
      </w:r>
      <w:r>
        <w:rPr>
          <w:b/>
          <w:sz w:val="22"/>
          <w:szCs w:val="22"/>
          <w:lang w:val="en-US"/>
        </w:rPr>
        <w:t>Q</w:t>
      </w:r>
      <w:r>
        <w:rPr>
          <w:b/>
          <w:sz w:val="22"/>
          <w:szCs w:val="22"/>
        </w:rPr>
        <w:t>}  № ДС1/{</w:t>
      </w:r>
      <w:r>
        <w:rPr>
          <w:b/>
          <w:sz w:val="22"/>
          <w:szCs w:val="22"/>
          <w:lang w:val="en-US"/>
        </w:rPr>
        <w:t>B</w:t>
      </w:r>
      <w:r>
        <w:rPr>
          <w:b/>
          <w:sz w:val="22"/>
          <w:szCs w:val="22"/>
        </w:rPr>
        <w:t>}/25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на оказание научно-технических услуг </w:t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  <w:br/>
        <w:t>г. Краснодар</w:t>
        <w:tab/>
        <w:tab/>
        <w:tab/>
        <w:tab/>
        <w:tab/>
        <w:tab/>
        <w:tab/>
        <w:t xml:space="preserve">             </w:t>
        <w:tab/>
        <w:tab/>
        <w:t>{</w:t>
      </w:r>
      <w:r>
        <w:rPr>
          <w:sz w:val="22"/>
          <w:szCs w:val="22"/>
          <w:lang w:val="en-US"/>
        </w:rPr>
        <w:t>T</w:t>
      </w:r>
      <w:r>
        <w:rPr>
          <w:sz w:val="22"/>
          <w:szCs w:val="22"/>
        </w:rPr>
        <w:t xml:space="preserve">}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  <w:r>
        <w:rPr>
          <w:sz w:val="22"/>
          <w:szCs w:val="22"/>
          <w:lang w:val="en-US"/>
        </w:rPr>
        <w:t>D</w:t>
      </w:r>
      <w:r>
        <w:rPr>
          <w:sz w:val="22"/>
          <w:szCs w:val="22"/>
        </w:rPr>
        <w:t>}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{</w:t>
      </w:r>
      <w:r>
        <w:rPr>
          <w:sz w:val="22"/>
          <w:szCs w:val="22"/>
          <w:lang w:val="en-US"/>
        </w:rPr>
        <w:t>U</w:t>
      </w:r>
      <w:r>
        <w:rPr>
          <w:sz w:val="22"/>
          <w:szCs w:val="22"/>
        </w:rPr>
        <w:t>} {</w:t>
      </w:r>
      <w:r>
        <w:rPr>
          <w:sz w:val="22"/>
          <w:szCs w:val="22"/>
          <w:lang w:val="en-US"/>
        </w:rPr>
        <w:t>K</w:t>
      </w:r>
      <w:r>
        <w:rPr>
          <w:sz w:val="22"/>
          <w:szCs w:val="22"/>
        </w:rPr>
        <w:t>}, действующего на основании {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}, с одной,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 в соответствии Федеральным законом от 18.07.2011 N 223-ФЗ «О закупках товаров, работ, услуг отдельными видами юридических лиц», заключили настоящий Договор о нижеследующем: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ПРЕДМЕТ ДОГОВОРА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ИСПОЛНИТЕЛЬ, действующий на основании  лицензии №153180 и лицензии №153181 от 03.05.2017 г., выданных Федеральной службой по надзору в сфере связи, информационных технологий и массовых коммуникаций, через Региональный центр компьютерной связи (РЦКС), являющийся в соответствии с Положением о РЦКС, утвержденном приказом ректора от 30.08.2021г. №1338, структурным подразделением ФГБОУ ВО «КубГУ», обязуется оказывать ЗАКАЗЧИКУ научно-технические услуги по предоставлению,  развитию и технической поддержке корпоративных сервисов (в дальнейшем Услуги) Региональной корпоративной сети образовательных организаций Краснодарского края (далее РКС ОО КК), а ЗАКАЗЧИК обязуется своевременно оплачивать эти услуги.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Требования, предъявляемые к Услугам, их виды (содержание), объем и другие условия определяются в Техническом задании (Приложение № 1 к Договору) и Протоколе соглашения о цене (Приложение №2 к Договору).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Договор вступает в силу с момента его подписания и распространяет свое действие на отношения, возникшие с 1 января 2025 года. Срок предоставления услуги с 1 января 2025 г. по 31 декабря 2025 г.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Договор автоматически продлевается на очередной календарный год на тех же условиях, если до 15 декабря ни одна из сторон не заявила возражение о продлении срока его действия. Договор может автоматически продлеваться неограниченное количество раз.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ПРАВА И ОБЯЗАННОСТИ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ИСПОЛНИТЕЛЬ: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соответствии с Техническим заданием (Приложение №1 к настоящему Договору) предоставляет ЗАКАЗЧИКУ Услуги, определенные в Приложении №2 к настоящему Договору.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Проводит необходимые регламентные работы, требуемые для поддержания качества Услуги. В том случае, если для проведения работ будет необходимо временное прекращение предоставления Услуги, представляет ЗАКАЗЧИКУ уведомление о таких работах средствами электронной почты на адреса, указанные ЗАКАЗЧИКОМ. В уведомлении указывается время начала работ и их продолжительность.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Своевременно представляет Заказчику документы, подтверждающие оказание услуг: счет, счет-фактура и Акт сдачи-приемки оказанных услуг.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ЗАКАЗЧИК: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Оплачивает Услуги ИСПОЛНИТЕЛЯ в порядке, размере и в сроки, как предусмотрено разделом 3 настоящего Договора.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Соблюдает ПРАВИЛА ПОЛЬЗОВАНИЯ Услугами, которые являются официальными документами ИСПОЛНИТЕЛЯ и публикуются на WWW-сервере ИСПОЛНИТЕЛЯ (http://www.kubannet.ru) в соответствующем разделе.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При оплате услуг указывает присвоенный ему при регистрации ИДЕНТИФИКАТОР АБОНЕНТА на платежных документах.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Соблюдает требования, изложенные в п.4 Технического задания (Приложение №1).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 случае необходимости обеспечивает доступ к оборудованию, которое он использует для получения Услуг, представителям службы государственного надзора за связью Российской Федерации.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Использует предоставляемые услуги в соответствии с их назначением в разрешенных законодательством РФ целях. </w:t>
      </w:r>
    </w:p>
    <w:p>
      <w:pPr>
        <w:pStyle w:val="Normal"/>
        <w:numPr>
          <w:ilvl w:val="0"/>
          <w:numId w:val="0"/>
        </w:numPr>
        <w:ind w:hanging="0" w:left="709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ЦЕНА ДОГОВОРА И ПОРЯДОК ОПЛАТЫ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Стоимость услуг ИСПОЛНИТЕЛЯ определяется исходя из ТАРИФОВ на приобретенный пакет услуг, согласованный с ЗАКАЗЧИКОМ в Протоколе Соглашения о цене (Приложение №2).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включает в себя все затраты, издержки и иные расходы Исполнителя, связанные с исполнением настоящего Договора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Виды Услуг определяются в Приложении №2.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Общая стоимость научно-технических услуг по обеспечению доступа к получению корпоративных сервисов РКС ОО КК, развитию и технической поддержке корпоративных сервисов составляет 6 048 (шесть тысяч сорок восемь) рублей 00 копеек с учетом НДС 20% в сумме 1 008 (одна тысяча восемь) рублей 00 копеек.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Учетным периодом для расчета оплаты за услуги ИСПОЛНИТЕЛЯ является один квартал (три месяца). ИСПОЛНИТЕЛЬ выставляет счета на оплату за предоставленные услуги ЗАКАЗЧИКУ в электронной форме ежеквартально в течение первых 5-ти рабочих дней месяца, следующего за расчетным периодом.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Оплата за Услуги должна производиться ЗАКАЗЧИКОМ непосредственно на расчетный счет ИСПОЛНИТЕЛЯ, указанный в настоящем Договоре. Основанием для оплаты является настоящий Договор, выставленный счет и Акт сдачи-приемки услуг, подписанный сторонами с помощью электронной подписи..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Оплата по настоящему Договору производится путем перечисления денежных средств на расчетный    счет  ИСПОЛНИТЕЛЯ  в  течение 7 (семи) рабочих дней с момента подписания обеими сторонами акта оказанных услуг и предоставления счета на оплату. Оплата услуг за четвертый квартал 2023 года возможна авансовым платежом на основании выставленного счета. 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является твердой и устанавливается на весь период действия Договора.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Приёмка результата исполнения контракта осуществляется в порядке, установленном законодательством Российской Федерации и настоящим контрактом с использованием электронных документов, сформированных в системе электронного документооборота (далее - ЭДО) в электронной форме и подписанных электронной подписью.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993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Электронные документы о приемке Услуг в рамках исполнения настоящего контракта, сформированные в ЭДО в электронной форме и подписанные электронными подписями по правилам Федерального закона от 06.04.2011 № 63-ФЗ «Об электронной подписи», признаются электронными документами, равнозначными документам на бумажном носителе, подписанными собственноручными подписями.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ИСПОЛНИТЕЛЬ оставляет за собой право приостановить предоставление Услуг, в случае отсутствия оплаты в сроки, предусмотренные настоящим Договором. При отсутствии оплаты в течение двух месяцев Договор считается расторгнутым.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случае реорганизации, переименования предприятия, а также изменения реквизитов, ЗАКАЗЧИК обязан документально уведомить ИСПОЛНИТЕЛЯ официальным письмом.  ИСПОЛНИТЕЛЬ обязан учесть данные изменения в текущей документации, оформить дополнительное соглашение, подтверждающее действие договора, с учетом указанных изменений.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Источник финансирования: </w:t>
      </w:r>
      <w:r>
        <w:rPr>
          <w:sz w:val="22"/>
          <w:szCs w:val="22"/>
          <w:lang w:val="en-US"/>
        </w:rPr>
        <w:t>{N}.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ОТВЕТСТВЕННОСТЬ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 невыполнение или ненадлежащее исполнение обязательств по настоящему Договору ИСПОЛНИТЕЛЬ и ЗАКАЗЧИК несут имущественную ответственность в соответствии с действующим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В тех случаях, когда имело место прекращение в предоставлении услуг по вине ИСПОЛНИТЕЛЯ (далее Прекращение), ИСПОЛНИТЕЛЬ на основе информации о Прекращении за прошедший платежный период уменьшает размер оплаты на сумму, равную оплате за период Прекращения. Не считается Прекращением перерыв в предоставлении Услуги, вызванный: дефектами в любом электронном или механическом оборудовании ЗАКАЗЧИКА, отказами электропитания или неправильным использованием оборудования ЗАКАЗЧИКОМ; нарушениями в каналах связи, арендуемых ИСПОЛНИТЕЛЕМ или ЗАКАЗЧИКОМ; неисправностью линии связи от ЗАКАЗЧИКА до оборудования ИСПОЛНИТЕЛЯ; проведением регламентных работ по п.2.1.3,форс-мажорными обстоятельствами; несвоевременным предоставлением ИСПОЛНИТЕЛЮ информации, необходимой для выполнения предмета данного Договора.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нарушении ЗАКАЗЧИКОМ пункта 2.2.2 настоящего Договора ИСПОЛНИТЕЛЬ оставляет за собой право на временное прекращение предоставления услуг ЗАКАЗЧИКУ до устранения нарушения, без компенсации затрат и потерь ЗАКАЗЧИКА.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невыполнении ЗАКАЗЧИКОМ обязательств согласно пунктам 2.2.1, 2.2.2. Договора в течение более двух месяцев со дня подписания Договора, ИСПОЛНИТЕЛЬ не гарантирует выполнение взятых на себя в соответствии с п.2.1.1 Договора обязательств.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Ни одна из Сторон ни в коем случае не несет ответственности перед другой Стороной за косвенные убытки или за ущерб предприятию, потерянные доходы, потерянную ожидаемую прибыль, возникшие в связи с любым дефектом, сбоем или Прерыванием, включая, но не ограничиваясь, потерю информации.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обязуется не просматривать и не разглашать любые сообщения, направляемые ЗАКАЗЧИКУ электронной почтой, за исключением случаев, предусмотренных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ЗАКАЗЧИКУ запрещается перепродажа услуг ИСПОЛНИТЕЛЯ третьим лицам без получения надлежащего разрешения на данный вид деятельности.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не несет ответственности за качество каналов связи общего пользования, посредством которых осуществляется предоставление Услуг. </w:t>
      </w:r>
    </w:p>
    <w:p>
      <w:pPr>
        <w:pStyle w:val="Normal"/>
        <w:numPr>
          <w:ilvl w:val="0"/>
          <w:numId w:val="0"/>
        </w:numPr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ПРОЧИЕ УСЛОВИЯ.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Споры между Сторонами, вытекающие из настоящего Договора или в связи с его исполнением и неурегулированные путем переговоров Сторон, подлежат разрешению в Арбитражном суде г. Краснодара в соответствии с законодательством Российской Федерации.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Сведения о ЗАКАЗЧИКЕ,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ЗАКАЗЧИКА, за исключением случаев, предусмотренных федеральными законами (согл. Постановлению Правительства РФ №32 от 23.01.2006г.</w:t>
      </w:r>
      <w:r>
        <w:rPr>
          <w:sz w:val="22"/>
          <w:szCs w:val="22"/>
          <w:lang w:val="en-US"/>
        </w:rPr>
        <w:t>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Настоящий Договор (а также дополнительные соглашения к нему) может быть заключен путем обмена Сторонами посредством электронной почты с адресов, указанных в п. 7 или реквизитах сторон настоящего договора, сканированными копиями подписанного соответствующей стороной текста договора.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договора. По требованию любой из сторон текст настоящего договора может быть изготовлен в виде одного документа, подписанного сторонами.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ФОРС-МАЖОР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В случае возникновения обстоятельств непреодолимой силы, к которым относятся стихийные бедствия, аварии, пожары, массовые беспорядки, забастовки, военные действия, противоправные действия третьих лиц в отношении имущества, обеспечивающего выполнение настоящего договора, вступление в силу законодательных актов, правительственных постановлений и распоряжений государственных органов, прямо или косвенно запрещающих указанные в настоящем Договоре виды деятельности, препятствующие осуществлению сторонами своих функций по настоящему Договору, и иных обстоятельств, не зависящих от волеизъявления сторон, они освобождаются от ответственности за неисполнение взятых на себя обязательств, если в течение 10 (десяти) дней с момента наступления таких обстоятельств и при наличии связи сторона, пострадавшая от их влияния, доведет до сведения другой Стороны известие о случившемся, а также предпримет все усилия для скорейшей ликвидации последствий форс-мажорных обстоятельств.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Сторона, понесшая убытки в связи с форс-мажорными обстоятельствами, может потребовать от стороны, ставшей объектом действия непреодолимой силы, документальные подтверждения о масштабах происшедших событий, а также об их влиянии.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КОНТАКТНАЯ ИНФОРМАЦИЯ: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Заказчика: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864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Оплата счетов: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Исполнителя: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Левицкий Борис Ефимович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+7(861) 2199500</w:t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РЦКС КубГУ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hyperlink r:id="rId2">
              <w:r>
                <w:rPr>
                  <w:rStyle w:val="Hyperlink"/>
                  <w:sz w:val="22"/>
                  <w:szCs w:val="22"/>
                  <w:lang w:val="en-US"/>
                </w:rPr>
                <w:t>bel</w:t>
              </w:r>
              <w:r>
                <w:rPr>
                  <w:rStyle w:val="Hyperlink"/>
                  <w:sz w:val="22"/>
                  <w:szCs w:val="22"/>
                </w:rPr>
                <w:t>@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kubsu</w:t>
              </w:r>
              <w:r>
                <w:rPr>
                  <w:rStyle w:val="Hyperlink"/>
                  <w:sz w:val="22"/>
                  <w:szCs w:val="22"/>
                </w:rPr>
                <w:t>.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ru</w:t>
              </w:r>
            </w:hyperlink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Выставление счетов:</w:t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Левашова Мария Владимировна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+7(</w:t>
            </w:r>
            <w:r>
              <w:rPr>
                <w:sz w:val="22"/>
                <w:szCs w:val="22"/>
                <w:lang w:val="en-US"/>
              </w:rPr>
              <w:t>861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  <w:lang w:val="en-US"/>
              </w:rPr>
              <w:t>2199599</w:t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абонентского отдела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hyperlink r:id="rId3">
              <w:r>
                <w:rPr>
                  <w:rStyle w:val="Hyperlink"/>
                  <w:sz w:val="22"/>
                  <w:szCs w:val="22"/>
                  <w:lang w:val="en-US"/>
                </w:rPr>
                <w:t>abon@kubsu.ru</w:t>
              </w:r>
            </w:hyperlink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Служба сопровождения РКС ОУ КК: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Бесплатный многоканальный телефон:  8-800-3022009.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: </w:t>
      </w:r>
      <w:hyperlink r:id="rId4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РЕКВИЗИТЫ СТОРОН 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350040, г. Краснодар, ул. Ставропольская, 149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 г. Краснодар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ОКОНХ - 92100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– 1022301972516</w:t>
            </w:r>
          </w:p>
          <w:p>
            <w:pPr>
              <w:pStyle w:val="Noeeu"/>
              <w:widowControl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КБК 00000000000000000130</w:t>
            </w:r>
          </w:p>
          <w:p>
            <w:pPr>
              <w:pStyle w:val="Noeeu"/>
              <w:widowControl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{D}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{C}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{E}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{G}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{O}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{P}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1"/>
              <w:ind w:left="0" w:right="-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ПОДПИСИ СТОРОН </w:t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{H} {C}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___________________  </w:t>
            </w:r>
            <w:r>
              <w:rPr>
                <w:sz w:val="22"/>
                <w:szCs w:val="22"/>
                <w:lang w:val="en-US"/>
              </w:rPr>
              <w:t>{I}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№1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>к Договору № ДС1/{</w:t>
      </w:r>
      <w:r>
        <w:rPr>
          <w:sz w:val="22"/>
          <w:szCs w:val="22"/>
          <w:lang w:val="en-US"/>
        </w:rPr>
        <w:t>B</w:t>
      </w:r>
      <w:r>
        <w:rPr>
          <w:sz w:val="22"/>
          <w:szCs w:val="22"/>
        </w:rPr>
        <w:t>}/25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от {</w:t>
      </w:r>
      <w:r>
        <w:rPr>
          <w:sz w:val="22"/>
          <w:szCs w:val="22"/>
          <w:lang w:val="en-US"/>
        </w:rPr>
        <w:t>T</w:t>
      </w: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b/>
          <w:sz w:val="22"/>
          <w:szCs w:val="22"/>
        </w:rPr>
        <w:t>Техническое задание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на оказание научно-технических услуг предоставлению, развитию и технической поддержке корпоративных сервисов Региональной корпоративной сети образовательных организаций Краснодарского края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1. ТЕРМИНЫ И ОПРЕДЕЛЕНИЯ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ТЕРМИНЫ И ОПРЕДЕЛЕНИЯ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Образовательные организации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ОО) – </w:t>
      </w:r>
      <w:r>
        <w:rPr>
          <w:sz w:val="22"/>
          <w:szCs w:val="22"/>
        </w:rPr>
        <w:t>государственные и муниципальные учреждения системы образования, а также детские дошкольные образовательные учреждения и образовательные организации дополнительного образования Краснодарского края - получатели услуги по обеспечению доступа к корпоративной сети, технической поддержке и предоставлению корпоративных сервисов.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Сеть Интернет</w:t>
      </w:r>
      <w:r>
        <w:rPr>
          <w:sz w:val="22"/>
          <w:szCs w:val="22"/>
        </w:rPr>
        <w:t xml:space="preserve"> – глобальное объединение независимых компьютерных сетей общего пользования с коммутацией пакетов, взаимодействующих через систему открытых протоколов и процедур на базе протоколов семейства TCP/IP с целью обмена информацией, содержащейся в информационных системах, подключенных к этим сетям.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ЕСПД</w:t>
      </w:r>
      <w:r>
        <w:rPr>
          <w:sz w:val="22"/>
          <w:szCs w:val="22"/>
        </w:rPr>
        <w:t xml:space="preserve"> – единая сеть передачи данных, обеспечивающая ограниченный доступ образовательных учреждений к сети Интернет.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Региональная корпоративная сеть образовательных организаций Краснодарского края</w:t>
      </w:r>
      <w:r>
        <w:rPr>
          <w:sz w:val="22"/>
          <w:szCs w:val="22"/>
        </w:rPr>
        <w:t xml:space="preserve"> (далее </w:t>
      </w:r>
      <w:r>
        <w:rPr>
          <w:b/>
          <w:sz w:val="22"/>
          <w:szCs w:val="22"/>
        </w:rPr>
        <w:t xml:space="preserve">РКС ОО КК </w:t>
      </w:r>
      <w:r>
        <w:rPr>
          <w:sz w:val="22"/>
          <w:szCs w:val="22"/>
        </w:rPr>
        <w:t>или</w:t>
      </w:r>
      <w:r>
        <w:rPr>
          <w:b/>
          <w:sz w:val="22"/>
          <w:szCs w:val="22"/>
        </w:rPr>
        <w:t xml:space="preserve"> Корпоративная сеть</w:t>
      </w:r>
      <w:r>
        <w:rPr>
          <w:sz w:val="22"/>
          <w:szCs w:val="22"/>
        </w:rPr>
        <w:t>) – региональная корпоративная телекоммуникационная сеть, построенная на базе инфраструктуры мультисервисных телекоммуникационных сетей региональных операторов связи, включающая совокупность технических, коммуникационных и программных средств,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Участники РКС ОО КК – </w:t>
      </w:r>
      <w:r>
        <w:rPr>
          <w:sz w:val="22"/>
          <w:szCs w:val="22"/>
        </w:rPr>
        <w:t>ОО, получатели услуги, в соответствии с условиями Договора.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Пользователь РКС ОО КК – </w:t>
      </w:r>
      <w:r>
        <w:rPr>
          <w:sz w:val="22"/>
          <w:szCs w:val="22"/>
        </w:rPr>
        <w:t>лицо, имеющее доступ к ресурсам информационных систем и сервисам Корпоративной сети.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Служба сопровождения РКС ОО КК – </w:t>
      </w:r>
      <w:r>
        <w:rPr>
          <w:sz w:val="22"/>
          <w:szCs w:val="22"/>
        </w:rPr>
        <w:t>структурное подразделение Исполнителя, осуществляющее функции технического и технологического обеспечения работоспособности и эксплуатации корпоративной сети, а также поддержки участников и пользователей Корпоративной сети по решению вопросов подключения и предоставления сервисов.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Центр обработки данных РКС ОО КК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ЦОД) – </w:t>
      </w:r>
      <w:r>
        <w:rPr>
          <w:sz w:val="22"/>
          <w:szCs w:val="22"/>
        </w:rPr>
        <w:t>центр обработки данных Службы сопровождения РКС ОУ КК, размещенный по адресу: г. Краснодар, ул. Ставропольская, 149, в котором размещаются центральные серверы сети (</w:t>
      </w:r>
      <w:r>
        <w:rPr>
          <w:sz w:val="22"/>
          <w:szCs w:val="22"/>
          <w:lang w:val="en-US"/>
        </w:rPr>
        <w:t>DNS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EMAIL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WEB</w:t>
      </w:r>
      <w:r>
        <w:rPr>
          <w:sz w:val="22"/>
          <w:szCs w:val="22"/>
        </w:rPr>
        <w:t>-хостинга, системы контент-фильтрации серверы видеоконференцсвязи и др.).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 СОДЕРЖАНИЕ РАБОТ И УСЛУГ.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Исполнителем оказываются следующие услуги:</w:t>
      </w:r>
    </w:p>
    <w:tbl>
      <w:tblPr>
        <w:tblStyle w:val="a9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9244"/>
      </w:tblGrid>
      <w:tr>
        <w:trPr>
          <w:trHeight w:val="253" w:hRule="atLeast"/>
        </w:trPr>
        <w:tc>
          <w:tcPr>
            <w:tcW w:w="67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ru-RU" w:bidi="ar-SA"/>
              </w:rPr>
              <w:t>/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</w:p>
        </w:tc>
        <w:tc>
          <w:tcPr>
            <w:tcW w:w="924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Вид услуг</w:t>
            </w:r>
          </w:p>
        </w:tc>
      </w:tr>
      <w:tr>
        <w:trPr>
          <w:trHeight w:val="253" w:hRule="atLeast"/>
        </w:trPr>
        <w:tc>
          <w:tcPr>
            <w:tcW w:w="67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4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1.</w:t>
            </w:r>
          </w:p>
        </w:tc>
        <w:tc>
          <w:tcPr>
            <w:tcW w:w="92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Предоставление, развитие и техническая поддержка корпоративных сервисов: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uppressAutoHyphens w:val="true"/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Корпоративная электронная почта,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ОО, предоставляемых по запросу руководителя ОО или вышестоящего органа управления. При работе внутри корпоративной сети доступ к сервису дополнительно возможен  с использованием почтового клиента по любым протоколам электронной почты.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uppressAutoHyphens w:val="true"/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 защищенного доступа к корпоративному порталу РКС ОО КК</w:t>
            </w:r>
          </w:p>
        </w:tc>
      </w:tr>
    </w:tbl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3. ТРЕБОВАНИЯ К ПРЕДОСТАВЛЯЕМЫМ УСЛУГАМ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технологиям и техническим решениям, применяемым Исполнителем для предоставления услуги связи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Используемые при оказании услуг технологии и технические решения должны: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соответствовать требованиям к подключению и доступу, включая требования к передаче данных, государственных и муниципальных образовательных организаций, реализующих программы общего и среднего профессионального образования, к единой сети передачи данных, утвержденных Приказом Министерства цифрового развития, связи и массовых коммуникаций Российской Федерации и Министерства просвещения Российской Федерации от 30 апреля 2021 г. №417/221;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позволять использовать абонентские линии подключаемых организаций, магистральные каналы операторов связи и ведомственные сети связи;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для взаимодействия стандартизованные интерфейсы и поддерживать стандартизованные протоколы для обмена данными;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пользование базовыми сетевыми сервисами – доступ к веб-, электронная почта, обмен файлами, управление и контроль сетевых устройств;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предоставлению корпоративных сервисов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онлайн-каналов и включает: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фиксацию и обработку обращений пользователей по всем вопросам, касающимся предоставления корпоративных сервисов;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оказание помощи пользователям по выявлению причин возникновения технических проблем и проблем доступа к корпоративным сервисам и их устранению;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сайта Службы сопровождения в домене Корпоративной сети с информацией об оказываемых услугах. 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Развитие корпоративных сервисов предусматривает возможность реализации новых сервисов по запросу Министерства образования, науки и молодежной политики Краснодарского края или муниципальных органов управления образованием, а также организацию обучения пользователей использованию реализованных сервисов.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Функционирование корпоративной электронной почты предусматривает: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предоставление каждому Участнику РКС ОУ КК одного корпоративного почтового ящика руководителя ОУ и до 10 почтовых ящиков для сотрудников организации, предоставляемых по запросу руководителя ОУ или муниципального органа управления образованием; 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централизованной антивирусной защиты и защиты от спама лицензионными программными средствами;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Предоставление доступа к корпоративному порталу РКС ОУ КК включает: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функциональных личных кабинетов пользователей, обеспечивающих информационное взаимодействие между пользователями, включая распространение документов с выбором получателей, включая файловые вложения, предназначенные для различных целевых групп с указанием ограничений на период доступности;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организацию защищенного доступа к элементам системы с возможностью реализации двухфакторной защиты, включая разграничение прав доступа пользователей на основе типов ролей и привилегий;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объединения пользователей в группы;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определение зон доступа для зарегистрированных пользователей в зависимости от роли;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в режиме реального времени статистики просмотра документа получателями с указанием времени первого и последнего просмотра документа;</w:t>
      </w:r>
    </w:p>
    <w:p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возможность просмотра детальной статистики по скачиванию каждого прикрепленного к документу файла;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поддержку поиска документов по названию внутри категории;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универсального, не требующего навыков программирования, конструктора форм, включающего подсистему ввода данных и подсистему обработки данных, позволяющую формировать рейтинги по фиксированным параметрам введенных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обеспечение доступа пользователей к конструктору форм при наличии соответствующих прав;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организации сбора данных и анкетирования зарегистрированных пользователей;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мониторинг хода сбора данных и анкетирования с возможностью скачивания промежуточных результатов;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сбора файлов с получателей документа и скачивания результатов сбора в виде архива;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полное журналирование действий пользователей, включая онлайн мониторинг просмотра назначенных документов пользователями и исполнения пользователями процессов ввода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подсистемы хранения и резервного копирования данных, которая предусматривает возможности: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хранения и резервного копирования всех введенных данных;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загрузки и хранения исторических данных по вновь создаваемым формам;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экспорта отчетных форм;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круглосуточного доступа к хранимым данным;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механизма доставки уведомлений о получении новых документов в личном кабинете.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ПРАВИЛА ОБЕСПЕЧЕНИЯ БЕЗОПАСНОСТИ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Исполнитель, Заказчик и пользователи корпоративных сервисов (далее стороны) обязаны воздерживаться от действий, способных создать угрозу для нормального функционирования используемых сетей связи.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(в том числе, направленных на иных пользователей сети или исходящих от иных пользователей сети).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Обязанности Участников и пользователей РКС ОО КК:</w:t>
      </w:r>
    </w:p>
    <w:p>
      <w:pPr>
        <w:pStyle w:val="Normal"/>
        <w:numPr>
          <w:ilvl w:val="2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обеспечения, включая принятие на себя следующих обязательств: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отправлять по Корпоративной сети и сети Интернет информацию, отправка которой противоречит российскому федеральному, региональному или местному законодательству, а также международному законодательству.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материалов, относящихся к порнографии, оскорбляющих человеческое достоинство, пропагандирующих насилие или экстремизм, разжигающих расовую, национальную или религиозную вражду, преследующих хулиганские или мошеннические цели.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посылать, не публиковать, не передавать,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материалы, полностью или частично, защищенные нормами законодательства об охране авторского права и интеллектуальной собственности, без разрешения владельца или его полномочного представителя.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для получения корпоративных сервисов оборудование и программное обеспечение, не сертифицированное в России надлежащим образом и/или не имеющее соответствующей лицензии.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ненужной получателю, не запрошенной информации (создания или участия в сетевом шуме - «спаме»). В частности, являются недопустимыми следующие действия: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Массовая рассылка не согласованных предварительно электронных писем (mass mailing). Под массовой рассылкой подразумевается, как рассылка множеству получателей, так и множественная рассылка одному получателю. Под электронными письмами понимаются сообщения электронной почты, ICQ и других подобных средств личного обмена информацией. Несогласованная рассылка электронных писем рекламного, коммерческого или агитационного характера, а также писем, содержащих грубые и оскорбительные выражения и предложения. 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Usenet или другой конференции, форуме или электронном списке рассылки статей, которые не соответствуют тематике данной конференции или списка рассылки (off-topic). Здесь и далее под конференцией понимаются телеконференции (группы новостей) Usenet и другие конференции, форумы и электронные списки рассылки.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сообщений рекламного, коммерческого, агитационного характера, или сообщений, содержащих приложенные файлы, кроме случаев,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предварительно.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Использование собственных или предоставленных информационных ресурсов (почтовых ящиков, адресов электронной почты, страниц WWW и т.д.) в качестве контактных координат при совершении любого из вышеописанных действий, вне зависимости от того, из какой точки Корпоративной сети были совершены эти действия.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идентификационные данные (имена, адреса, телефоны и т.п.) третьих лиц, кроме случаев, когда эти лица уполномочили Участника (Пользователя) Корпоративной сети на такое использование. В то же время Участник (Пользователь) должен принять меры по предотвращению использования ресурсов Корпоративной сети третьими лицами от его имени (обеспечить сохранность паролей и прочих кодов авторизованного доступа).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фальсифицировать свой IP-адрес, адреса, используемые в других сетевых протоколах, а также прочую служебную информацию при передаче данных в Корпоративную сеть и сеть Интернет.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несуществующие обратные адреса при отправке электронных писем за исключением случаев, когда использование какого-либо ресурса Корпоративной сети или сети Интернет в явной форме разрешает анонимность.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использовать каналы связи Корпоративной сети для предоставления третьим лицам услуг доступа к Корпоративной сети и сети Интернет, а также для пропуска исходящего трафика от иных операторов и сетей связи.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осуществлять действия с целью изменения настроек оборудования или программного обеспечения, установленного Службой сопровождения РКС ОО КК или оператором связи, предоставляющим доступ к Корпоративной сети и сети Интернет и (или) ЕСПД,  а также иные действия, которые могут повлечь за собой сбои в их работе.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осуществлять попытки несанкционированного доступа к ресурсам Сети, проведение или участие в сетевых атаках и сетевом взломе, за исключением случаев, когда атака на сетевой ресурс проводится с явного разрешения владельца или администратора этого ресурса. В том числе не осуществлять: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нарушение нормального функционирования элементов Корпоративной сети (компьютеров, другого оборудования или программного обеспечения), не принадлежащих Участнику (Пользователю).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получение несанкционированного доступа, в том числе привилегированного, к ресурсу Сети (компьютеру, другому оборудованию или информационному ресурсу), последующее использование такого доступа, а также уничтожение или модификация программного обеспечения, или данных, не принадлежащих Участнику (Пользователю), без согласования с владельцами этого программного обеспечения или данных, либо администраторами данного информационного ресурса.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Передачу на оборудование Корпоративной сети бессмысленной или бесполезной информации, создающей паразитную нагрузку на это оборудование, в объемах, превышающих минимально необходимые для проверки связности сетей и доступности отдельных ее элементов. </w:t>
      </w:r>
    </w:p>
    <w:p>
      <w:pPr>
        <w:pStyle w:val="Normal"/>
        <w:numPr>
          <w:ilvl w:val="2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обязаны обеспечивать настройку своих ресурсов, которая препятствует недобросовестному использованию этих ресурсов третьими лицами, а также оперативно реагировать при обнаружении случаев такого использования. Участнику (Пользователю) запрещается использование следующих настроек своих ресурсов: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открытый ретранслятор электронной почты (open SMTP-relay);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для неавторизованной публикации серверы новостей (конференций, групп);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средства, позволяющие третьим лицам осуществлять неавторизованную работу в Корпоративной сети (открытые прокси-серверы и т.п.);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широковещательные адреса локальных сетей;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электронные списки рассылки с недостаточной авторизацией Подписки или без возможности ее отмены.</w:t>
      </w:r>
    </w:p>
    <w:p>
      <w:pPr>
        <w:pStyle w:val="Normal"/>
        <w:numPr>
          <w:ilvl w:val="2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самостоятельно несут риск от любых угроз из сети Интернет. В случае установленных нарушений информационной безопасности Участник (Пользователь)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деятельности, включая приостановку потребления корпоративных сервисов до устранения причин нарушения информационной безопасности.</w:t>
      </w:r>
    </w:p>
    <w:p>
      <w:pPr>
        <w:pStyle w:val="Normal"/>
        <w:numPr>
          <w:ilvl w:val="2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Защита отдельных информационных ресурсов Участника РКС ОО КК может осуществляться силами Генподрядчика, или силами Службы сопровождения Корпоративной сети по отдельному соглашению.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ПЛАНОВОЕ ТЕХНИЧЕСКОЕ ОБСЛУЖИВАНИЕ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 постоянно осуществляет мониторинг своей сети и проактивно проводит мероприятия по техническому обслуживанию, которые могут быть заранее запланированными или вызванными неполадками. Исполнитель прилагает все усилия для уменьшения неудобств, испытываемых Пользователем в связи с такими работами. 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Плановое техническое обслуживание или замена оборудования производится не чаще одного раза в месяц в специально определенные промежутки времени, в заранее согласованное Сторонами время.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Если Исполнитель планирует проведение технического обслуживания, то он извещает Заказчика о характере обслуживания и его продолжительности не менее чем за 24 (двадцать четыре) часа по электронной почте по адресам, указанным в разделе «7. Контактная информация» Договора.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Промежутки времени, в которые осуществляется Плановое техническое обслуживание, не являются случаями недоступности Услуги, Исполнитель будет минимизировать длительность таких промежутков и их число, а также учитывать интересы Заказчика.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Для проведения продолжительных работ по замене и обслуживанию средств связи, которые не укладываются в вышеуказанные периоды Планового технического обслуживания (например, из-за технологических ограничений), Исполнитель может использовать в течение года не более 4 (четырех) дополнительных промежутков времени длительностью не более 4 (четырех) часов каждый. Проведение таких работ будет согласовываться с Заказчиком заранее не менее чем за 24 (двадцать четыре) часа до начала работ и не является случаем недоступности Услуги.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ПЕРЕРЫВЫ (ПРЕКРАЩЕНИЕ СВЯЗИ)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Перерыв связи означает полную невозможность использования Услуги по вине Исполнителя. Факт перерыва связи признается на основании обращения Заказчика в Службу сопровождения РКС ОО КК, подтвержденного данными системы мониторинга Исполнителя.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являются перерывами связи регламентные работы и случаи планового технического обслуживания, в том числе работы по тестированию или настройке на сети Исполнителя, о которых Заказчик извещается заблаговременно не менее чем за 24 (Двадцать четыре) часа, а также случаи возникновения перерывов, произошедших не по вине Исполнителя, заранее согласованные Сторонами перерывы и перерывы, длящиеся менее 30 минут. 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7. ТРЕБОВАНИЯ К БЕЗОПАСНОСТИ ПРЕДОСТАВЛЯЕМЫХ УСЛУГ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Услуги должны отвечать требованиям качества, безопасности жизни и здоровья, соответствовать требованиям сертификации, лицензионным требованиям, государственным стандартам, а также иным требованиям, предъявляемым законодательством Российской Федерации или настоящим Договором.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При оказании услуг Исполнитель может использовать копирайт и иные лицензионные, авторские или торговые знаки, определяемые действующим законодательством Российской Федерации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8. ТЕХНИЧЕСКАЯ ПОДДЕРЖКА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Техническая поддержка Пользователей РКС ОО КК оказывается Исполнителем  в рабочие дни с 8 до 18 часов по телефонному номеру (звонок бесплатный): 8-800-3022009 и по электронной почте </w:t>
      </w:r>
      <w:hyperlink r:id="rId5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. По указанным телефонам и на веб-сайте Интернет </w:t>
      </w:r>
      <w:hyperlink r:id="rId6">
        <w:r>
          <w:rPr>
            <w:rStyle w:val="Hyperlink"/>
            <w:sz w:val="22"/>
            <w:szCs w:val="22"/>
            <w:lang w:val="en-US"/>
          </w:rPr>
          <w:t>http</w:t>
        </w:r>
        <w:r>
          <w:rPr>
            <w:rStyle w:val="Hyperlink"/>
            <w:sz w:val="22"/>
            <w:szCs w:val="22"/>
          </w:rPr>
          <w:t>://</w:t>
        </w:r>
        <w:r>
          <w:rPr>
            <w:rStyle w:val="Hyperlink"/>
            <w:sz w:val="22"/>
            <w:szCs w:val="22"/>
            <w:lang w:val="en-US"/>
          </w:rPr>
          <w:t>krc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для Пользователей доступны информационно-справочные услуги по предоставлению информации об оказываемых услугах. Исполнитель фиксирует время обращения Пользователя, выясняет причину отсутствия доступа к Услуге, предпринимает необходимые меры для ее устранения и уведомляет Пользователя о предпринятых мерах.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___________________  ___________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М.П..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tbl>
      <w:tblPr>
        <w:tblW w:w="9288" w:type="dxa"/>
        <w:jc w:val="left"/>
        <w:tblInd w:w="5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378"/>
        <w:gridCol w:w="1948"/>
        <w:gridCol w:w="3962"/>
      </w:tblGrid>
      <w:tr>
        <w:trPr/>
        <w:tc>
          <w:tcPr>
            <w:tcW w:w="3378" w:type="dxa"/>
            <w:tcBorders/>
          </w:tcPr>
          <w:p>
            <w:pPr>
              <w:pStyle w:val="Noeeu"/>
              <w:pageBreakBefore/>
              <w:widowControl/>
              <w:spacing w:before="0" w:after="0"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94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3962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Приложение 2</w:t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94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3962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к Договору № ДС1/{B}/25</w:t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94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3962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 xml:space="preserve">от  </w:t>
            </w:r>
            <w:r>
              <w:rPr>
                <w:sz w:val="22"/>
                <w:szCs w:val="22"/>
              </w:rPr>
              <w:t>{T}</w:t>
            </w:r>
          </w:p>
        </w:tc>
      </w:tr>
    </w:tbl>
    <w:p>
      <w:pPr>
        <w:pStyle w:val="Style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Noeeu"/>
        <w:widowControl/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ПРОТОКОЛ  СОГЛАШЕНИЯ О ЦЕНЕ</w:t>
      </w:r>
    </w:p>
    <w:p>
      <w:pPr>
        <w:pStyle w:val="Noeeu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 оказание научно-технических услуг по предоставлению, развитию и технической поддержке корпоративных сервисов РКС ОО КК</w:t>
      </w:r>
    </w:p>
    <w:p>
      <w:pPr>
        <w:pStyle w:val="Noeeu"/>
        <w:jc w:val="center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Мы, нижеподписавшиеся, от лица ИСПОЛНИТЕЛЯ - проректор по цифровому развитию ФГБОУ ВО «КубГУ» Строганова Елена Валерьевна, с одной стороны, и от лица ЗАКАЗЧИКА - {H} {C} {K}, с другой стороны, удостоверяем, что Сторонами достигнуто соглашение о предоставлении ЗАКАЗЧИКУ по договорной цене следующего пакета ежемесячно оказываемых услуг:</w:t>
      </w:r>
    </w:p>
    <w:tbl>
      <w:tblPr>
        <w:tblW w:w="98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9"/>
        <w:gridCol w:w="5130"/>
        <w:gridCol w:w="1419"/>
        <w:gridCol w:w="1134"/>
        <w:gridCol w:w="1418"/>
      </w:tblGrid>
      <w:tr>
        <w:trPr>
          <w:trHeight w:val="103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№ </w:t>
            </w:r>
            <w:r>
              <w:rPr>
                <w:b/>
                <w:bCs/>
                <w:sz w:val="22"/>
                <w:szCs w:val="22"/>
              </w:rPr>
              <w:t>п./п.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Вид (содержание) услуг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Стоимость в месяц с НДС (руб.)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Число месяцев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Цена с НДС (руб)</w:t>
            </w:r>
          </w:p>
        </w:tc>
      </w:tr>
      <w:tr>
        <w:trPr>
          <w:trHeight w:val="48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numPr>
                <w:ilvl w:val="0"/>
                <w:numId w:val="13"/>
              </w:numPr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Предоставление, развитие и техническая поддержка корпоративных сервисов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6048</w:t>
            </w:r>
          </w:p>
        </w:tc>
      </w:tr>
      <w:tr>
        <w:trPr>
          <w:trHeight w:val="279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68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6048</w:t>
            </w:r>
          </w:p>
        </w:tc>
      </w:tr>
    </w:tbl>
    <w:p>
      <w:pPr>
        <w:pStyle w:val="Noeeu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Все цены указаны с учетом НДС 20%.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Стоимость Договора составляет 6 048 (шесть тысяч сорок восемь) рублей 00 копеек с учетом НДС 20% в сумме 1 008 (одна тысяча восемь) рублей 00 копеек.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tbl>
      <w:tblPr>
        <w:tblpPr w:vertAnchor="text" w:horzAnchor="margin" w:tblpXSpec="center" w:leftFromText="180" w:rightFromText="180" w:tblpY="173"/>
        <w:tblW w:w="101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7"/>
        <w:gridCol w:w="281"/>
        <w:gridCol w:w="5355"/>
      </w:tblGrid>
      <w:tr>
        <w:trPr>
          <w:trHeight w:val="429" w:hRule="atLeast"/>
        </w:trPr>
        <w:tc>
          <w:tcPr>
            <w:tcW w:w="4537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ИСПОЛНИТЕЛЯ:</w:t>
            </w:r>
          </w:p>
        </w:tc>
        <w:tc>
          <w:tcPr>
            <w:tcW w:w="281" w:type="dxa"/>
            <w:vMerge w:val="restart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ЗАКАЗЧИКА:</w:t>
            </w:r>
          </w:p>
        </w:tc>
      </w:tr>
      <w:tr>
        <w:trPr>
          <w:trHeight w:val="270" w:hRule="atLeast"/>
        </w:trPr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 ФГБОУ ВО «КубГУ»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{H} {C}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_____________ </w:t>
            </w:r>
            <w:r>
              <w:rPr>
                <w:sz w:val="22"/>
                <w:szCs w:val="22"/>
                <w:lang w:val="en-US"/>
              </w:rPr>
              <w:t>{I}</w:t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 Е.В. Строганова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ConsPlusNormal"/>
              <w:rPr>
                <w:rFonts w:ascii="Times New Roman" w:hAnsi="Times New Roman"/>
                <w:color w:val="auto"/>
                <w:szCs w:val="22"/>
              </w:rPr>
            </w:pPr>
            <w:r>
              <w:rPr>
                <w:rFonts w:ascii="Times New Roman" w:hAnsi="Times New Roman"/>
                <w:color w:val="auto"/>
                <w:szCs w:val="22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Приложение №3 </w:t>
      </w:r>
    </w:p>
    <w:p>
      <w:pPr>
        <w:pStyle w:val="Normal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к Договору № ДС1/{</w:t>
      </w:r>
      <w:r>
        <w:rPr>
          <w:b/>
          <w:sz w:val="22"/>
          <w:szCs w:val="22"/>
          <w:lang w:val="en-US"/>
        </w:rPr>
        <w:t>B</w:t>
      </w:r>
      <w:r>
        <w:rPr>
          <w:b/>
          <w:sz w:val="22"/>
          <w:szCs w:val="22"/>
        </w:rPr>
        <w:t>}</w:t>
      </w:r>
      <w:r>
        <w:rPr>
          <w:b/>
          <w:i/>
          <w:sz w:val="22"/>
          <w:szCs w:val="22"/>
        </w:rPr>
        <w:t>/</w:t>
      </w:r>
      <w:r>
        <w:rPr>
          <w:b/>
          <w:sz w:val="22"/>
          <w:szCs w:val="22"/>
        </w:rPr>
        <w:t>25 от {</w:t>
      </w:r>
      <w:r>
        <w:rPr>
          <w:b/>
          <w:sz w:val="22"/>
          <w:szCs w:val="22"/>
          <w:lang w:val="en-US"/>
        </w:rPr>
        <w:t>T</w:t>
      </w:r>
      <w:r>
        <w:rPr>
          <w:b/>
          <w:sz w:val="22"/>
          <w:szCs w:val="22"/>
        </w:rPr>
        <w:t xml:space="preserve">}  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СОГЛАШЕНИЕ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 ОБМЕНЕ ЭЛЕКТРОННЫМИ ДОКУМЕНТАМИ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г. Краснодар</w:t>
        <w:tab/>
        <w:tab/>
        <w:tab/>
        <w:tab/>
        <w:tab/>
        <w:tab/>
        <w:t xml:space="preserve">                                                                       </w:t>
      </w:r>
      <w:r>
        <w:rPr>
          <w:b/>
          <w:sz w:val="22"/>
          <w:szCs w:val="22"/>
        </w:rPr>
        <w:t>{</w:t>
      </w:r>
      <w:r>
        <w:rPr>
          <w:b/>
          <w:sz w:val="22"/>
          <w:szCs w:val="22"/>
          <w:lang w:val="en-US"/>
        </w:rPr>
        <w:t>T</w:t>
      </w:r>
      <w:r>
        <w:rPr>
          <w:b/>
          <w:sz w:val="22"/>
          <w:szCs w:val="22"/>
        </w:rPr>
        <w:t>}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  <w:r>
        <w:rPr>
          <w:sz w:val="22"/>
          <w:szCs w:val="22"/>
          <w:lang w:val="en-US"/>
        </w:rPr>
        <w:t>D</w:t>
      </w:r>
      <w:r>
        <w:rPr>
          <w:sz w:val="22"/>
          <w:szCs w:val="22"/>
        </w:rPr>
        <w:t>}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{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} {</w:t>
      </w:r>
      <w:r>
        <w:rPr>
          <w:sz w:val="22"/>
          <w:szCs w:val="22"/>
          <w:lang w:val="en-US"/>
        </w:rPr>
        <w:t>K</w:t>
      </w:r>
      <w:r>
        <w:rPr>
          <w:sz w:val="22"/>
          <w:szCs w:val="22"/>
        </w:rPr>
        <w:t>}, действующего на основании {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},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вместе именуемые "Стороны", заключили настоящее соглашение о нижеследующем: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ТЕРМИНЫ И ОПРЕДЕЛЕНИЯ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 (ЭД) – информация в электронно-цифровой форме, электронный документ может быть формализованным и неформализованным.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Электронная подпись (ЭП)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>
      <w:pPr>
        <w:pStyle w:val="ListBullet3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 (КЭП) – вид усиленной электронной подписи, ключ проверки которой указан в квалифицированном сертификате, выданном аккредитованным удостоверяющим центром.</w:t>
      </w:r>
    </w:p>
    <w:p>
      <w:pPr>
        <w:pStyle w:val="ListBullet3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Неквалифицированная ЭП (НЭП) - вид усиленной электронной подписи, которая получена в результате криптографического преобразования информации с использованием ключа электронной подписи.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(ЭДО) – процесс обмена электронными документами, подписанными ЭП, между Сторонами.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Оператор – организация,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– Исполнитель или Заказчик, направляющая документ в электронном виде по телекоммуникационным каналам связи другой Стороне.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– Исполнитель или Заказчик, получающая от Направляющей Стороны документ в электронном виде по телекоммуникационным каналам связи.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Документ – общее название документов, которыми обмениваются Стороны настоящего Соглашения.</w:t>
      </w:r>
    </w:p>
    <w:p>
      <w:pPr>
        <w:pStyle w:val="ListBullet"/>
        <w:numPr>
          <w:ilvl w:val="0"/>
          <w:numId w:val="15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ПРЕДМЕТ СОГЛАШЕНИЯ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Настоящим Соглашением Стороны устанавливают порядок ЭДО во исполнение своих обязательств, по всем заключенным между Сторонами договорам.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Электронные документы, которыми обмениваются Стороны настоящего Соглашения, могут быть подписаны Квалифицированной ЭП.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Стороны осуществляют в соответствии с Гражданским кодексом Российской Федерации, Федеральным законом от 06.04.2011 № 63-ФЗ "Об электронной подписи", Федеральным законом от 06.12.2011 "О бухгалтерском учете",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приказом Минфина России от 10.11.2015 № 174Н.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Стороны для организации ЭДО используют квалифицированную электронную подпись,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№ 63-ФЗ (далее – "УЦ").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Стороны обязаны информировать друг друга о невозможности обмена документами в электронном виде, подписанными квалифицированной ЭП, в случае технического сбоя внутренних систем Стороны. В этом случае в период действия такого сбоя Стороны производят обмен документами на бумажном носителе с подписанием собственноручной подписью,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осуществлении обмена электронными документами Стороны используют форматы документов, которые утверждены приказами ФНС России. Если форматы документов не утверждены, то Стороны используют согласованные между собой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форматы.</w:t>
      </w:r>
    </w:p>
    <w:p>
      <w:pPr>
        <w:pStyle w:val="ListBullet"/>
        <w:numPr>
          <w:ilvl w:val="0"/>
          <w:numId w:val="15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ПРИЗНАНИЕ ЭЛЕКТРОННЫХ ДОКУМЕНТОВ РАВНОЗНАЧНЫМИ ДОКУМЕНТАМ НА БУМАЖНОМ НОСИТЕЛЕ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документ, подписанный КЭП, содержание которого соответствует требованиям нормативных правовых актов, должен приниматься Сторонами к учету в качестве первичного учетного документа, использоваться в качестве доказательства в судебных разбирательствах, предоставляться в государственные органы по запросам последних.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Подписание электронного документа, бумажный аналог которого должен содержать подписи и (или) печати обеих сторон, осуществляется путем последовательного подписания данного электронного документа каждой из Сторон. Доказательством подписания электронного документа Стороной-2 может являться в том числе ее ЭП с идентификатором подписанного документа, т.е. без повторного приложения самого документа, подписанного Стороной-1.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Каждая из Сторон несет ответственность за обеспечение конфиденциальности ключей КЭП, недопущение использования принадлежащих ей ключей без ее согласия. Если в сертификате КЭП не указан орган или физическое лицо, действующее от имени организации при подписании электронного документа, то в каждом случае получения подписанного электронного документа Получающая Сторона добросовестно исходит из того, что документ подписан от имени Направляющей Стороны надлежащим лицом, действующим в пределах, имеющихся у него полномочий.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Организация ЭДО между Сторонами не отменяет использование иных способов изготовления и обмена документами между Сторонами в рамках обязательств, не регулируемых данным Соглашением.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ВЗАИМОДЕЙСТВИЕ С УДОСТОВЕРЯЮЩИМ ЦЕНТРОМ И ОПЕРАТОРОМ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Стороны не позднее 15 дней после подписания настоящего Соглашения обязуются за свой счет получить сертификаты ЭП, которые можно будет использовать в течение всего срока действия данного Соглашения.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Условия использования средств ЭП, порядок проверки ЭП, правила обращения с ключами и сертификатами квалифицированной ЭП устанавливаются нормативными документами (регламентами) УЦ; по данным вопросам Стороны руководствуются нормативными документами УЦ.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До начала осуществления обмена электронными документами Стороны должны оформить и представить Оператору заявление об участии в ОЭД, а также получить у Оператора идентификатор участника обмена, реквизиты доступа и другие необходимые данные.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В случае изменения учетных данных, содержащихся в заявлении об участии в ОЭД в электронном виде по телекоммуникационным каналам связи,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данные. 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 И ПОЛУЧЕНИЯ СЧЕТОВ-ФАКТУР В ЭЛЕКТРОННОМ ВИДЕ ПО ТЕЛЕКОММУНИКАЦИОННЫМ КАНАЛАМ СВЯЗИ С ИСПОЛЬЗОВАНИЕМ КВАЛИФИЦИРОВАННОЙ ЭП (ЭЦП)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выставлении и получении счетов-фактур Стороны руководствуются порядком, закрепленным в приказе Минфина России от 10.11.2015 № 174н.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ВЫСТАВЛЕНИЯ, НАПРАВЛЕНИЯ И ОБМЕНА НАКЛАДНЫМИ И АКТАМИ ЧЕРЕЗ ОПЕРАТОРА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КЭП, упаковывает в транспортный контейнер и отправляет через Оператора Получающей Стороне.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Оператор проверяет адрес и структуру транспортного контейнера и, при отсутствии недостатков, осуществляет его доставку Получающей Стороне. При этом Оператор фиксирует дату и время получения Документа, формирует Подтверждение даты получения (ПДП) и отправляет его Направляющей Стороне.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при получении ПДП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обнаружении ошибок в полученном контейнере Оператор формирует сообщение об ошибке и отправляет его Направляющей Стороне.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от Оператора проверяет действительность сертификата КЭП и сохраняет Документ в системе ПО.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Одновременно Получающая Сторона не позднее 2 рабочих дней формирует Извещение о получении (ИОП), в котором фиксирует факт доставки Документа, пописывает ее КЭП и отправляет Направляющей стороне через Оператора.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 ИОП,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не позднее одного рабочего дня совершить одно из следующих действий:</w:t>
      </w:r>
    </w:p>
    <w:p>
      <w:pPr>
        <w:pStyle w:val="ListBullet3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Сформировать ответный Документ, подписать его КЭП и отправить Направляющей Стороне через Оператора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При необходимости Направляющая сторона не позднее 2 рабочих дней вносит исправления в данные и повторяет действия, установленные п. 6.1. настоящего Соглашения. 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ПОРЯДОК ПРЯМОГО ОБМЕНА НЕФОРМАЛИЗОВАННЫМИ ДОКУМЕНТАМИ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 направляет файл с документом в электронном виде в адрес Получающей Стороны.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проверяет действительность сертификата КЭП и сохраняет Документ в системе ПО.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совершить одно из следующих действий:</w:t>
      </w:r>
    </w:p>
    <w:p>
      <w:pPr>
        <w:pStyle w:val="ListBullet3"/>
        <w:numPr>
          <w:ilvl w:val="2"/>
          <w:numId w:val="15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Подписать Документ КЭП и отправить Направляющей стороне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5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необходимости Направляющая сторона не позднее 2 рабочих дней вносит исправления в данные и повторяет действия, установленные п. 7.1. настоящего Соглашения.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ПРОЧИЕ УСЛОВИЯ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В случае если Направляющая сторона не получила от Получающей стороны и/или Оператора Получающей стороны, а равно если Оператор Получающей стороны не получил от Получающей стороны, извещение о получении Документа (счета-фактуры) от Направляющей стороны и/или Оператора Направляющей стороны, и при условии отсутствия от Получающей Стороны уведомления согласно п. 2.8. Соглашения и невозможности для Направляющей Стороны получить от Получающей Стороны информацию о причинах отсутствия извещения, Направляющая Сторона оформляет соответствующий документ на бумажном носителе с подписанием собственноручной подписью, Стороны считают его оригиналом,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В случае невозможности и далее производить обмен документами в электронном виде (неполучение извещений о получении электронного документа, отсутствие любого вида связи с Получающей Стороной и пр.) Направляющая Сторона оформляет документы на бумажных носителях в письменном виде и Стороны считают их оригиналами, при этом настоящее Соглашение считается расторгнутым, без оформления каких-либо Дополнительных соглашений.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РАЗРЕШЕНИЕ СПОРОВ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ЭП, которой подписан документ, признается действительной до тех пор, пока решением суда не установлено иное.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возникновении разногласий относительно подписания с помощью КЭП определенных электронных документов Стороны соглашаются предоставить комиссии, созданной в соответствии с регламентом УЦ, возможность ознакомления с условиями и порядком работы своих программных и технических средств, используемых для обмена электронными документами.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Все споры, возникающие в связи с исполнением настоящего Соглашения, рассматриваются тем же судом, которому подсудны споры, вытекающие из обязательств Сторон, определенных в п. 2.1. настоящего Соглашения. 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ДЕЙСТВИЕ СОГЛАШЕНИЯ И ПОРЯДОК ЕГО ИЗМЕНЕНИЯ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Настоящее Соглашение заключено на неопределенный срок. Соглашение автоматически прекращает свое действие досрочно в случае, если хотя бы одна из Сторон на протяжении одного месяца не будет иметь действительного сертификата КЭП, выданного УЦ.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Сторона имеет право в одностороннем внесудебном порядке отказаться от исполнения настоящего Соглашения, письменно уведомив об этом другую Сторону не менее чем за 30 дней до расторжения Соглашения.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Соглашения об изменении, продлении срока действия или досрочном прекращении настоящего Соглашения и приложений к нему заключаются в том же порядке, что и настоящее Соглашение.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ПОДПИСИ И РЕКВИЗИТЫ СТОРОН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350040, г. Краснодар, ул. Ставропольская, 149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X</w:t>
            </w:r>
            <w:r>
              <w:rPr>
                <w:sz w:val="22"/>
                <w:szCs w:val="22"/>
              </w:rPr>
              <w:t xml:space="preserve">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 г. Краснодар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ОКОНХ - 92100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– 1022301972516</w:t>
            </w:r>
          </w:p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КБК 00000000000000000130</w:t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{D}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{C}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{E}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{G}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{O}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{P}</w:t>
            </w:r>
          </w:p>
          <w:p>
            <w:pPr>
              <w:pStyle w:val="1"/>
              <w:ind w:left="0" w:right="-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</w:rPr>
              <w:t>} {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_____________ {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М.П.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276" w:right="737" w:gutter="0" w:header="0" w:top="709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2">
    <w:lvl w:ilvl="0">
      <w:start w:val="1"/>
      <w:numFmt w:val="decimal"/>
      <w:lvlText w:val="1.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3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28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1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8325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rsid w:val="006e0946"/>
    <w:pPr>
      <w:keepNext w:val="true"/>
      <w:tabs>
        <w:tab w:val="clear" w:pos="720"/>
        <w:tab w:val="left" w:pos="2977" w:leader="none"/>
      </w:tabs>
      <w:spacing w:lineRule="auto" w:line="360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qFormat/>
    <w:rsid w:val="006e0946"/>
    <w:pPr>
      <w:keepNext w:val="true"/>
      <w:spacing w:lineRule="auto" w:line="360"/>
      <w:jc w:val="center"/>
      <w:outlineLvl w:val="2"/>
    </w:pPr>
    <w:rPr>
      <w:sz w:val="44"/>
      <w:lang w:val="en-US"/>
    </w:rPr>
  </w:style>
  <w:style w:type="paragraph" w:styleId="Heading4">
    <w:name w:val="heading 4"/>
    <w:basedOn w:val="Normal"/>
    <w:next w:val="Normal"/>
    <w:qFormat/>
    <w:rsid w:val="006e0946"/>
    <w:pPr>
      <w:keepNext w:val="true"/>
      <w:spacing w:lineRule="auto" w:line="360"/>
      <w:outlineLvl w:val="3"/>
    </w:pPr>
    <w:rPr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Печатная машинка"/>
    <w:qFormat/>
    <w:rsid w:val="006e0946"/>
    <w:rPr>
      <w:rFonts w:ascii="Courier New" w:hAnsi="Courier New"/>
      <w:sz w:val="20"/>
    </w:rPr>
  </w:style>
  <w:style w:type="character" w:styleId="Hyperlink">
    <w:name w:val="Hyperlink"/>
    <w:rsid w:val="00c17874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qFormat/>
    <w:rsid w:val="00360459"/>
    <w:rPr/>
  </w:style>
  <w:style w:type="character" w:styleId="Style13" w:customStyle="1">
    <w:name w:val="Нижний колонтитул Знак"/>
    <w:basedOn w:val="DefaultParagraphFont"/>
    <w:qFormat/>
    <w:rsid w:val="00360459"/>
    <w:rPr/>
  </w:style>
  <w:style w:type="character" w:styleId="Style14" w:customStyle="1">
    <w:name w:val="Текст выноски Знак"/>
    <w:basedOn w:val="DefaultParagraphFont"/>
    <w:link w:val="BalloonText"/>
    <w:qFormat/>
    <w:rsid w:val="001f4c3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rsid w:val="006e0946"/>
    <w:pPr>
      <w:spacing w:lineRule="auto" w:line="360"/>
    </w:pPr>
    <w:rPr>
      <w:sz w:val="40"/>
    </w:rPr>
  </w:style>
  <w:style w:type="paragraph" w:styleId="List">
    <w:name w:val="List"/>
    <w:basedOn w:val="Normal"/>
    <w:rsid w:val="00277d30"/>
    <w:pPr>
      <w:ind w:hanging="283" w:left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rsid w:val="006e0946"/>
    <w:pPr>
      <w:tabs>
        <w:tab w:val="clear" w:pos="720"/>
        <w:tab w:val="left" w:pos="1134" w:leader="none"/>
      </w:tabs>
      <w:ind w:hanging="283" w:left="1134"/>
      <w:jc w:val="both"/>
      <w:outlineLvl w:val="1"/>
    </w:pPr>
    <w:rPr>
      <w:sz w:val="24"/>
    </w:rPr>
  </w:style>
  <w:style w:type="paragraph" w:styleId="BodyTextIndent2">
    <w:name w:val="Body Text Indent 2"/>
    <w:basedOn w:val="Normal"/>
    <w:qFormat/>
    <w:rsid w:val="006e0946"/>
    <w:pPr>
      <w:ind w:left="851"/>
      <w:jc w:val="both"/>
      <w:outlineLvl w:val="1"/>
    </w:pPr>
    <w:rPr>
      <w:sz w:val="24"/>
    </w:rPr>
  </w:style>
  <w:style w:type="paragraph" w:styleId="BodyText2">
    <w:name w:val="Body Text 2"/>
    <w:basedOn w:val="Normal"/>
    <w:qFormat/>
    <w:rsid w:val="006e0946"/>
    <w:pPr>
      <w:jc w:val="center"/>
    </w:pPr>
    <w:rPr>
      <w:bCs/>
      <w:sz w:val="24"/>
    </w:rPr>
  </w:style>
  <w:style w:type="paragraph" w:styleId="Noeeu" w:customStyle="1">
    <w:name w:val="Noeeu"/>
    <w:qFormat/>
    <w:rsid w:val="00a10a0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0"/>
      <w:lang w:val="en-US" w:eastAsia="ru-RU" w:bidi="ar-SA"/>
    </w:rPr>
  </w:style>
  <w:style w:type="paragraph" w:styleId="Style0" w:customStyle="1">
    <w:name w:val="Style0"/>
    <w:qFormat/>
    <w:rsid w:val="00a10a0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NormalWeb">
    <w:name w:val="Normal (Web)"/>
    <w:basedOn w:val="Normal"/>
    <w:qFormat/>
    <w:rsid w:val="00d305e8"/>
    <w:pPr>
      <w:spacing w:beforeAutospacing="1" w:afterAutospacing="1"/>
    </w:pPr>
    <w:rPr>
      <w:rFonts w:ascii="Arial" w:hAnsi="Arial" w:cs="Arial"/>
      <w:color w:val="333333"/>
      <w:sz w:val="12"/>
      <w:szCs w:val="12"/>
    </w:rPr>
  </w:style>
  <w:style w:type="paragraph" w:styleId="1" w:customStyle="1">
    <w:name w:val="Цитата1"/>
    <w:basedOn w:val="Normal"/>
    <w:qFormat/>
    <w:rsid w:val="00766306"/>
    <w:pPr>
      <w:suppressAutoHyphens w:val="true"/>
      <w:ind w:left="-720" w:right="-5"/>
    </w:pPr>
    <w:rPr>
      <w:sz w:val="24"/>
      <w:szCs w:val="24"/>
      <w:lang w:eastAsia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4"/>
    <w:qFormat/>
    <w:rsid w:val="001f4c3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835"/>
    <w:pPr>
      <w:spacing w:before="0" w:after="0"/>
      <w:ind w:left="720"/>
      <w:contextualSpacing/>
    </w:pPr>
    <w:rPr/>
  </w:style>
  <w:style w:type="paragraph" w:styleId="2" w:customStyle="1">
    <w:name w:val="Стиль2"/>
    <w:qFormat/>
    <w:rsid w:val="009551c5"/>
    <w:pPr>
      <w:widowControl/>
      <w:tabs>
        <w:tab w:val="clear" w:pos="720"/>
        <w:tab w:val="left" w:pos="0" w:leader="none"/>
        <w:tab w:val="left" w:pos="1080" w:leader="none"/>
      </w:tabs>
      <w:suppressAutoHyphens w:val="true"/>
      <w:bidi w:val="0"/>
      <w:spacing w:lineRule="auto" w:line="216" w:before="0" w:after="60"/>
      <w:ind w:firstLine="567"/>
      <w:contextualSpacing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onsPlusNormal" w:customStyle="1">
    <w:name w:val="ConsPlusNormal"/>
    <w:qFormat/>
    <w:rsid w:val="009551c5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ListBullet5">
    <w:name w:val="List Bullet 5"/>
    <w:basedOn w:val="Normal"/>
    <w:autoRedefine/>
    <w:rsid w:val="00af5c5f"/>
    <w:pPr>
      <w:numPr>
        <w:ilvl w:val="4"/>
        <w:numId w:val="15"/>
      </w:numPr>
    </w:pPr>
    <w:rPr>
      <w:rFonts w:ascii="Arial" w:hAnsi="Arial"/>
    </w:rPr>
  </w:style>
  <w:style w:type="paragraph" w:styleId="ListBullet">
    <w:name w:val="List Bullet"/>
    <w:basedOn w:val="Normal"/>
    <w:autoRedefine/>
    <w:rsid w:val="00af5c5f"/>
    <w:pPr>
      <w:numPr>
        <w:ilvl w:val="0"/>
        <w:numId w:val="15"/>
      </w:numPr>
      <w:spacing w:before="120" w:after="120"/>
      <w:jc w:val="center"/>
    </w:pPr>
    <w:rPr>
      <w:b/>
      <w:caps/>
      <w:sz w:val="24"/>
      <w:szCs w:val="24"/>
    </w:rPr>
  </w:style>
  <w:style w:type="paragraph" w:styleId="ListBullet2">
    <w:name w:val="List Bullet 2"/>
    <w:basedOn w:val="Normal"/>
    <w:autoRedefine/>
    <w:unhideWhenUsed/>
    <w:rsid w:val="00af5c5f"/>
    <w:pPr>
      <w:widowControl w:val="false"/>
      <w:numPr>
        <w:ilvl w:val="1"/>
        <w:numId w:val="15"/>
      </w:numPr>
      <w:jc w:val="both"/>
    </w:pPr>
    <w:rPr>
      <w:sz w:val="24"/>
      <w:szCs w:val="24"/>
    </w:rPr>
  </w:style>
  <w:style w:type="paragraph" w:styleId="ListBullet3">
    <w:name w:val="List Bullet 3"/>
    <w:basedOn w:val="Normal"/>
    <w:autoRedefine/>
    <w:unhideWhenUsed/>
    <w:rsid w:val="00af5c5f"/>
    <w:pPr>
      <w:widowControl w:val="false"/>
      <w:numPr>
        <w:ilvl w:val="2"/>
        <w:numId w:val="15"/>
      </w:numPr>
      <w:jc w:val="both"/>
    </w:pPr>
    <w:rPr>
      <w:sz w:val="24"/>
      <w:szCs w:val="24"/>
    </w:rPr>
  </w:style>
  <w:style w:type="paragraph" w:styleId="ListBullet4">
    <w:name w:val="List Bullet 4"/>
    <w:basedOn w:val="Normal"/>
    <w:semiHidden/>
    <w:unhideWhenUsed/>
    <w:rsid w:val="00af5c5f"/>
    <w:pPr>
      <w:numPr>
        <w:ilvl w:val="3"/>
        <w:numId w:val="15"/>
      </w:numPr>
      <w:spacing w:before="0" w:after="0"/>
      <w:contextualSpacing/>
    </w:pPr>
    <w:rPr>
      <w:sz w:val="24"/>
      <w:szCs w:val="24"/>
    </w:rPr>
  </w:style>
  <w:style w:type="paragraph" w:styleId="21" w:customStyle="1">
    <w:name w:val="Стиль Маркированный список 2"/>
    <w:basedOn w:val="ListBullet2"/>
    <w:qFormat/>
    <w:rsid w:val="00af5c5f"/>
    <w:pPr/>
    <w:rPr>
      <w:szCs w:val="20"/>
    </w:rPr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rsid w:val="00a10a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l@kubsu.ru" TargetMode="External"/><Relationship Id="rId3" Type="http://schemas.openxmlformats.org/officeDocument/2006/relationships/hyperlink" Target="mailto:abon@kubsu.ru" TargetMode="External"/><Relationship Id="rId4" Type="http://schemas.openxmlformats.org/officeDocument/2006/relationships/hyperlink" Target="mailto:support@kubannet.ru" TargetMode="External"/><Relationship Id="rId5" Type="http://schemas.openxmlformats.org/officeDocument/2006/relationships/hyperlink" Target="mailto:support@kubannet.ru" TargetMode="External"/><Relationship Id="rId6" Type="http://schemas.openxmlformats.org/officeDocument/2006/relationships/hyperlink" Target="http://krc.kubannet.ru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LibreOffice/24.8.3.2$Linux_X86_64 LibreOffice_project/e14c9fdd1f585efcbb2c5363087a99d20928d522</Application>
  <AppVersion>15.0000</AppVersion>
  <Pages>14</Pages>
  <Words>5607</Words>
  <Characters>40225</Characters>
  <CharactersWithSpaces>45569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2024-06-14T08:27:00Z</dcterms:created>
  <dc:creator/>
  <dc:description/>
  <dc:language>ru-RU</dc:language>
  <cp:lastModifiedBy/>
  <dcterms:modified xsi:type="dcterms:W3CDTF">2024-12-13T20:46:48Z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