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КС2/{</w:t>
      </w:r>
      <w:r>
        <w:rPr>
          <w:b/>
          <w:sz w:val="22"/>
          <w:szCs w:val="22"/>
          <w:lang w:val="en-US"/>
        </w:rPr>
        <w:t>B</w:t>
      </w:r>
      <w:r>
        <w:rPr>
          <w:b/>
          <w:sz w:val="22"/>
          <w:szCs w:val="22"/>
        </w:rPr>
        <w:t>}/25</w:t>
      </w:r>
      <w:r>
        <w:rPr>
          <w:i/>
          <w:sz w:val="16"/>
          <w:szCs w:val="16"/>
        </w:rPr>
        <w:t xml:space="preserve"> </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w:t>
      </w:r>
      <w:r>
        <w:rPr>
          <w:sz w:val="22"/>
          <w:szCs w:val="22"/>
          <w:lang w:val="en-US"/>
        </w:rPr>
        <w:t>T</w:t>
      </w:r>
      <w:r>
        <w:rPr>
          <w:sz w:val="22"/>
          <w:szCs w:val="22"/>
        </w:rPr>
        <w:t xml:space="preserve">}  </w:t>
      </w:r>
    </w:p>
    <w:p>
      <w:pPr>
        <w:pStyle w:val="Normal"/>
        <w:jc w:val="both"/>
        <w:rPr>
          <w:sz w:val="22"/>
          <w:szCs w:val="22"/>
        </w:rPr>
      </w:pPr>
      <w:r>
        <w:rPr>
          <w:sz w:val="22"/>
          <w:szCs w:val="22"/>
        </w:rPr>
        <w:t>{</w:t>
      </w:r>
      <w:r>
        <w:rPr>
          <w:sz w:val="22"/>
          <w:szCs w:val="22"/>
          <w:lang w:val="en-US"/>
        </w:rPr>
        <w:t>D</w:t>
      </w:r>
      <w:r>
        <w:rPr>
          <w:sz w:val="22"/>
          <w:szCs w:val="22"/>
        </w:rPr>
        <w:t>}</w:t>
      </w:r>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2025 года. Срок предоставления услуги с 1 января 2025 г. по 31 декабря 2025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{M}.</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9 144 (девять тысяч сто сорок четыре) рубля 00 копеек, в том числе НДС 20% в сумме 1 524 (одна тысяча пятьсот двадцать четыре) рубля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КС2/{</w:t>
      </w:r>
      <w:r>
        <w:rPr>
          <w:sz w:val="22"/>
          <w:szCs w:val="22"/>
          <w:lang w:val="en-US"/>
        </w:rPr>
        <w:t>B</w:t>
      </w:r>
      <w:r>
        <w:rPr>
          <w:sz w:val="22"/>
          <w:szCs w:val="22"/>
        </w:rPr>
        <w:t>}/25</w:t>
      </w:r>
      <w:r>
        <w:rPr>
          <w:i/>
          <w:sz w:val="16"/>
          <w:szCs w:val="16"/>
        </w:rPr>
        <w:t xml:space="preserve"> </w:t>
      </w:r>
      <w:r>
        <w:rPr>
          <w:sz w:val="22"/>
          <w:szCs w:val="22"/>
        </w:rPr>
        <w:t>от {T}</w:t>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t>3. ТРЕБОВАНИЯ К ПРЕДОСТАВЛЯЕМЫМ УСЛУГАМ</w:t>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jc w:val="both"/>
        <w:rPr>
          <w:sz w:val="22"/>
          <w:szCs w:val="22"/>
        </w:rPr>
      </w:pPr>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709"/>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709"/>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709"/>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709"/>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709"/>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bookmarkStart w:id="0" w:name="_Hlk169604814"/>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bookmarkEnd w:id="0"/>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pPr>
      <w:r>
        <w:rPr/>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5"/>
        <w:gridCol w:w="3965"/>
      </w:tblGrid>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КС2/{</w:t>
            </w:r>
            <w:r>
              <w:rPr>
                <w:sz w:val="22"/>
                <w:szCs w:val="22"/>
              </w:rPr>
              <w:t>B</w:t>
            </w:r>
            <w:r>
              <w:rPr>
                <w:sz w:val="22"/>
                <w:szCs w:val="22"/>
                <w:lang w:val="ru-RU"/>
              </w:rPr>
              <w:t>}/25</w:t>
            </w:r>
            <w:r>
              <w:rPr>
                <w:i/>
                <w:sz w:val="16"/>
                <w:szCs w:val="16"/>
                <w:lang w:val="ru-RU"/>
              </w:rPr>
              <w:t xml:space="preserve"> </w:t>
            </w:r>
            <w:r>
              <w:rPr>
                <w:sz w:val="22"/>
                <w:szCs w:val="22"/>
                <w:lang w:val="ru-RU"/>
              </w:rPr>
              <w:t>от {</w:t>
            </w:r>
            <w:r>
              <w:rPr>
                <w:sz w:val="22"/>
                <w:szCs w:val="22"/>
              </w:rPr>
              <w:t>T</w:t>
            </w:r>
            <w:r>
              <w:rPr>
                <w:sz w:val="22"/>
                <w:szCs w:val="22"/>
                <w:lang w:val="ru-RU"/>
              </w:rPr>
              <w:t>}</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1" w:name="_Hlk169604883"/>
      <w:r>
        <w:rPr>
          <w:sz w:val="22"/>
          <w:szCs w:val="22"/>
        </w:rPr>
        <w:t>{H} {C} {K}</w:t>
      </w:r>
      <w:bookmarkEnd w:id="1"/>
      <w:r>
        <w:rPr>
          <w:sz w:val="22"/>
          <w:szCs w:val="22"/>
        </w:rPr>
        <w:t>,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7"/>
        <w:gridCol w:w="1422"/>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2"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3096</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9144</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r>
        <w:rPr>
          <w:sz w:val="22"/>
          <w:szCs w:val="22"/>
          <w:lang w:val="ru-RU"/>
        </w:rPr>
        <w:t>9 144 (девять тысяч сто сорок четыре) рубля 00 копеек, в том числе НДС 20% в сумме 1</w:t>
      </w:r>
      <w:r>
        <w:rPr>
          <w:sz w:val="22"/>
          <w:szCs w:val="22"/>
        </w:rPr>
        <w:t> </w:t>
      </w:r>
      <w:r>
        <w:rPr>
          <w:sz w:val="22"/>
          <w:szCs w:val="22"/>
          <w:lang w:val="ru-RU"/>
        </w:rPr>
        <w:t>524 (одна тысяча пятьсот двадцать четыре) рубля 00 копеек</w:t>
      </w:r>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8"/>
        <w:gridCol w:w="5358"/>
      </w:tblGrid>
      <w:tr>
        <w:trPr>
          <w:trHeight w:val="567"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8"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8"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8"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КС2/{</w:t>
      </w:r>
      <w:r>
        <w:rPr>
          <w:b/>
          <w:sz w:val="22"/>
          <w:szCs w:val="22"/>
          <w:lang w:val="en-US"/>
        </w:rPr>
        <w:t>B</w:t>
      </w:r>
      <w:r>
        <w:rPr>
          <w:b/>
          <w:sz w:val="22"/>
          <w:szCs w:val="22"/>
        </w:rPr>
        <w:t>}/25</w:t>
      </w:r>
      <w:r>
        <w:rPr>
          <w:b/>
          <w:i/>
          <w:sz w:val="16"/>
          <w:szCs w:val="16"/>
        </w:rPr>
        <w:t xml:space="preserve"> </w:t>
      </w:r>
      <w:r>
        <w:rPr>
          <w:b/>
          <w:sz w:val="22"/>
          <w:szCs w:val="22"/>
        </w:rPr>
        <w:t>от {T}</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r>
        <w:rPr>
          <w:b/>
          <w:sz w:val="22"/>
          <w:szCs w:val="22"/>
        </w:rPr>
        <w:t>{</w:t>
      </w:r>
      <w:r>
        <w:rPr>
          <w:b/>
          <w:sz w:val="22"/>
          <w:szCs w:val="22"/>
          <w:lang w:val="en-US"/>
        </w:rPr>
        <w:t>T</w:t>
      </w:r>
      <w:r>
        <w:rPr>
          <w:b/>
          <w:sz w:val="22"/>
          <w:szCs w:val="22"/>
        </w:rPr>
        <w:t xml:space="preserve">}   </w:t>
      </w:r>
    </w:p>
    <w:p>
      <w:pPr>
        <w:pStyle w:val="Normal"/>
        <w:ind w:firstLine="708"/>
        <w:jc w:val="both"/>
        <w:rPr>
          <w:sz w:val="22"/>
          <w:szCs w:val="22"/>
        </w:rPr>
      </w:pPr>
      <w:r>
        <w:rPr>
          <w:sz w:val="22"/>
          <w:szCs w:val="22"/>
        </w:rPr>
        <w:t>{</w:t>
      </w:r>
      <w:r>
        <w:rPr>
          <w:sz w:val="22"/>
          <w:szCs w:val="22"/>
          <w:lang w:val="en-US"/>
        </w:rPr>
        <w:t>D</w:t>
      </w:r>
      <w:r>
        <w:rPr>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H</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w:t>
            </w:r>
            <w:r>
              <w:rPr>
                <w:sz w:val="22"/>
                <w:szCs w:val="22"/>
                <w:lang w:val="en-US"/>
              </w:rPr>
              <w:t>H</w:t>
            </w:r>
            <w:r>
              <w:rPr>
                <w:sz w:val="22"/>
                <w:szCs w:val="22"/>
              </w:rPr>
              <w:t>} {</w:t>
            </w:r>
            <w:r>
              <w:rPr>
                <w:sz w:val="22"/>
                <w:szCs w:val="22"/>
                <w:lang w:val="en-US"/>
              </w:rPr>
              <w:t>C</w:t>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w:t>
            </w:r>
            <w:r>
              <w:rPr>
                <w:sz w:val="22"/>
                <w:szCs w:val="22"/>
                <w:lang w:val="en-US"/>
              </w:rPr>
              <w:t>I</w:t>
            </w:r>
            <w:r>
              <w:rPr>
                <w:sz w:val="22"/>
                <w:szCs w:val="22"/>
              </w:rPr>
              <w:t>}</w:t>
            </w:r>
          </w:p>
          <w:p>
            <w:pPr>
              <w:pStyle w:val="Normal"/>
              <w:rPr>
                <w:sz w:val="22"/>
                <w:szCs w:val="22"/>
              </w:rPr>
            </w:pPr>
            <w:r>
              <w:rPr>
                <w:sz w:val="22"/>
                <w:szCs w:val="22"/>
              </w:rPr>
            </w:r>
            <w:bookmarkStart w:id="2" w:name="_GoBack"/>
            <w:bookmarkStart w:id="3" w:name="_Hlk169604980"/>
            <w:bookmarkStart w:id="4" w:name="_GoBack"/>
            <w:bookmarkStart w:id="5" w:name="_Hlk169604980"/>
            <w:bookmarkEnd w:id="4"/>
            <w:bookmarkEnd w:id="5"/>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d7b67"/>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503003"/>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LibreOffice/24.8.3.2$Linux_X86_64 LibreOffice_project/e14c9fdd1f585efcbb2c5363087a99d20928d522</Application>
  <AppVersion>15.0000</AppVersion>
  <Pages>15</Pages>
  <Words>6272</Words>
  <Characters>45291</Characters>
  <CharactersWithSpaces>51290</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2024-06-18T05:33:00Z</dcterms:created>
  <dc:creator/>
  <dc:description/>
  <dc:language>ru-RU</dc:language>
  <cp:lastModifiedBy/>
  <dcterms:modified xsi:type="dcterms:W3CDTF">2024-12-13T20:46:58Z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