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8C0B37">
                                    <w:pPr>
                                      <w:pStyle w:val="Subtitle"/>
                                      <w:rPr>
                                        <w:rFonts w:cstheme="minorBidi"/>
                                        <w:color w:val="FFFFFF" w:themeColor="background1"/>
                                      </w:rPr>
                                    </w:pPr>
                                    <w:r>
                                      <w:rPr>
                                        <w:rFonts w:cstheme="minorBidi"/>
                                        <w:b/>
                                        <w:color w:val="FFFFFF" w:themeColor="background1"/>
                                      </w:rPr>
                                      <w:t>18</w:t>
                                    </w:r>
                                    <w:r w:rsidR="0044608F" w:rsidRPr="00BA01AB">
                                      <w:rPr>
                                        <w:rFonts w:cstheme="minorBidi"/>
                                        <w:b/>
                                        <w:color w:val="FFFFFF" w:themeColor="background1"/>
                                      </w:rPr>
                                      <w:t>-01-2018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8C0B37">
                              <w:pPr>
                                <w:pStyle w:val="Subtitle"/>
                                <w:rPr>
                                  <w:rFonts w:cstheme="minorBidi"/>
                                  <w:color w:val="FFFFFF" w:themeColor="background1"/>
                                </w:rPr>
                              </w:pPr>
                              <w:r>
                                <w:rPr>
                                  <w:rFonts w:cstheme="minorBidi"/>
                                  <w:b/>
                                  <w:color w:val="FFFFFF" w:themeColor="background1"/>
                                </w:rPr>
                                <w:t>18</w:t>
                              </w:r>
                              <w:r w:rsidR="0044608F" w:rsidRPr="00BA01AB">
                                <w:rPr>
                                  <w:rFonts w:cstheme="minorBidi"/>
                                  <w:b/>
                                  <w:color w:val="FFFFFF" w:themeColor="background1"/>
                                </w:rPr>
                                <w:t>-01-2018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442" w:type="dxa"/>
        <w:shd w:val="clear" w:color="auto" w:fill="00B0F0"/>
        <w:tblLook w:val="04A0" w:firstRow="1" w:lastRow="0" w:firstColumn="1" w:lastColumn="0" w:noHBand="0" w:noVBand="1"/>
      </w:tblPr>
      <w:tblGrid>
        <w:gridCol w:w="10442"/>
      </w:tblGrid>
      <w:tr w:rsidR="0044608F" w:rsidTr="001F07A0">
        <w:trPr>
          <w:trHeight w:val="368"/>
        </w:trPr>
        <w:tc>
          <w:tcPr>
            <w:tcW w:w="10442" w:type="dxa"/>
            <w:shd w:val="clear" w:color="auto" w:fill="00B0F0"/>
          </w:tcPr>
          <w:p w:rsidR="0044608F" w:rsidRPr="0044608F" w:rsidRDefault="008C0B37" w:rsidP="008C0B37">
            <w:pPr>
              <w:jc w:val="center"/>
              <w:rPr>
                <w:b/>
              </w:rPr>
            </w:pPr>
            <w:r>
              <w:rPr>
                <w:b/>
                <w:sz w:val="36"/>
              </w:rPr>
              <w:t xml:space="preserve">RELCAPITAL </w:t>
            </w:r>
            <w:r w:rsidR="002436C8">
              <w:rPr>
                <w:b/>
                <w:sz w:val="36"/>
              </w:rPr>
              <w:t>(</w:t>
            </w:r>
            <w:r>
              <w:rPr>
                <w:b/>
                <w:sz w:val="36"/>
              </w:rPr>
              <w:t>RELCAPITAL</w:t>
            </w:r>
            <w:r w:rsidR="002436C8">
              <w:rPr>
                <w:b/>
                <w:sz w:val="36"/>
              </w:rPr>
              <w:t>)</w:t>
            </w:r>
            <w:r w:rsidR="001F07A0">
              <w:rPr>
                <w:b/>
                <w:sz w:val="36"/>
              </w:rPr>
              <w:br/>
              <w:t>(</w:t>
            </w:r>
            <w:r w:rsidR="002436C8">
              <w:rPr>
                <w:b/>
                <w:sz w:val="36"/>
              </w:rPr>
              <w:t>NSE</w:t>
            </w:r>
            <w:r w:rsidR="001F07A0">
              <w:rPr>
                <w:b/>
                <w:sz w:val="36"/>
              </w:rPr>
              <w:t xml:space="preserve"> </w:t>
            </w:r>
            <w:r w:rsidR="002436C8">
              <w:rPr>
                <w:b/>
                <w:sz w:val="36"/>
              </w:rPr>
              <w:t>C</w:t>
            </w:r>
            <w:r w:rsidR="001F07A0">
              <w:rPr>
                <w:b/>
                <w:sz w:val="36"/>
              </w:rPr>
              <w:t>ash)</w:t>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8C0B37" w:rsidP="008C0B37">
            <w:pPr>
              <w:jc w:val="center"/>
              <w:rPr>
                <w:b/>
              </w:rPr>
            </w:pPr>
            <w:r>
              <w:rPr>
                <w:b/>
              </w:rPr>
              <w:t>562-563</w:t>
            </w:r>
          </w:p>
        </w:tc>
        <w:tc>
          <w:tcPr>
            <w:tcW w:w="1150" w:type="dxa"/>
            <w:shd w:val="clear" w:color="auto" w:fill="00B0F0"/>
          </w:tcPr>
          <w:p w:rsidR="008C0B37" w:rsidRPr="00BA01AB" w:rsidRDefault="008C0B37" w:rsidP="008C0B37">
            <w:pPr>
              <w:jc w:val="center"/>
              <w:rPr>
                <w:b/>
              </w:rPr>
            </w:pPr>
            <w:r>
              <w:rPr>
                <w:b/>
              </w:rPr>
              <w:t>SL-545</w:t>
            </w:r>
          </w:p>
        </w:tc>
      </w:tr>
      <w:tr w:rsidR="008C0B37" w:rsidTr="008C0B37">
        <w:trPr>
          <w:trHeight w:val="196"/>
        </w:trPr>
        <w:tc>
          <w:tcPr>
            <w:tcW w:w="1486" w:type="dxa"/>
            <w:shd w:val="clear" w:color="auto" w:fill="00B0F0"/>
          </w:tcPr>
          <w:p w:rsidR="008C0B37" w:rsidRPr="00BA01AB" w:rsidRDefault="008C0B37" w:rsidP="008C0B37">
            <w:pPr>
              <w:jc w:val="center"/>
              <w:rPr>
                <w:b/>
              </w:rPr>
            </w:pPr>
            <w:r>
              <w:rPr>
                <w:b/>
              </w:rPr>
              <w:t>TGT 1- 575</w:t>
            </w:r>
          </w:p>
        </w:tc>
        <w:tc>
          <w:tcPr>
            <w:tcW w:w="1209" w:type="dxa"/>
            <w:shd w:val="clear" w:color="auto" w:fill="00B0F0"/>
          </w:tcPr>
          <w:p w:rsidR="008C0B37" w:rsidRPr="00BA01AB" w:rsidRDefault="008C0B37" w:rsidP="008C0B37">
            <w:pPr>
              <w:jc w:val="center"/>
              <w:rPr>
                <w:b/>
              </w:rPr>
            </w:pPr>
            <w:r>
              <w:rPr>
                <w:b/>
              </w:rPr>
              <w:t>TGT 2- 595</w:t>
            </w:r>
          </w:p>
        </w:tc>
        <w:tc>
          <w:tcPr>
            <w:tcW w:w="1150" w:type="dxa"/>
            <w:shd w:val="clear" w:color="auto" w:fill="00B0F0"/>
          </w:tcPr>
          <w:p w:rsidR="008C0B37" w:rsidRPr="00BA01AB" w:rsidRDefault="008C0B37" w:rsidP="008C0B37">
            <w:pPr>
              <w:jc w:val="center"/>
              <w:rPr>
                <w:b/>
              </w:rPr>
            </w:pPr>
            <w:r>
              <w:rPr>
                <w:b/>
              </w:rPr>
              <w:t>SL-545</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1F07A0" w:rsidP="00BA01AB">
            <w:pPr>
              <w:jc w:val="center"/>
              <w:rPr>
                <w:b/>
              </w:rPr>
            </w:pPr>
            <w:r w:rsidRPr="00BA01AB">
              <w:rPr>
                <w:b/>
              </w:rPr>
              <w:t>S1</w:t>
            </w:r>
          </w:p>
        </w:tc>
        <w:tc>
          <w:tcPr>
            <w:tcW w:w="729" w:type="dxa"/>
            <w:shd w:val="clear" w:color="auto" w:fill="00B0F0"/>
          </w:tcPr>
          <w:p w:rsidR="001F07A0" w:rsidRPr="00BA01AB" w:rsidRDefault="001F07A0" w:rsidP="00BA01AB">
            <w:pPr>
              <w:jc w:val="center"/>
              <w:rPr>
                <w:b/>
              </w:rPr>
            </w:pPr>
            <w:r w:rsidRPr="00BA01AB">
              <w:rPr>
                <w:b/>
              </w:rPr>
              <w:t>S2</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8C0B37" w:rsidP="00BA01AB">
            <w:pPr>
              <w:jc w:val="center"/>
              <w:rPr>
                <w:b/>
              </w:rPr>
            </w:pPr>
            <w:r>
              <w:rPr>
                <w:b/>
              </w:rPr>
              <w:t>535</w:t>
            </w:r>
          </w:p>
        </w:tc>
        <w:tc>
          <w:tcPr>
            <w:tcW w:w="729" w:type="dxa"/>
            <w:shd w:val="clear" w:color="auto" w:fill="00B0F0"/>
          </w:tcPr>
          <w:p w:rsidR="001F07A0" w:rsidRPr="00BA01AB" w:rsidRDefault="008C0B37" w:rsidP="00BA01AB">
            <w:pPr>
              <w:jc w:val="center"/>
              <w:rPr>
                <w:b/>
              </w:rPr>
            </w:pPr>
            <w:r>
              <w:rPr>
                <w:b/>
              </w:rPr>
              <w:t>540</w:t>
            </w:r>
          </w:p>
        </w:tc>
        <w:tc>
          <w:tcPr>
            <w:tcW w:w="729" w:type="dxa"/>
            <w:shd w:val="clear" w:color="auto" w:fill="00B0F0"/>
          </w:tcPr>
          <w:p w:rsidR="001F07A0" w:rsidRPr="00BA01AB" w:rsidRDefault="008C0B37" w:rsidP="00BA01AB">
            <w:pPr>
              <w:jc w:val="center"/>
              <w:rPr>
                <w:b/>
              </w:rPr>
            </w:pPr>
            <w:r>
              <w:rPr>
                <w:b/>
              </w:rPr>
              <w:t>560</w:t>
            </w:r>
          </w:p>
        </w:tc>
        <w:tc>
          <w:tcPr>
            <w:tcW w:w="729" w:type="dxa"/>
            <w:shd w:val="clear" w:color="auto" w:fill="00B0F0"/>
          </w:tcPr>
          <w:p w:rsidR="001F07A0" w:rsidRPr="00BA01AB" w:rsidRDefault="008C0B37" w:rsidP="00BA01AB">
            <w:pPr>
              <w:jc w:val="center"/>
              <w:rPr>
                <w:b/>
              </w:rPr>
            </w:pPr>
            <w:r>
              <w:rPr>
                <w:b/>
              </w:rPr>
              <w:t>575</w:t>
            </w:r>
          </w:p>
        </w:tc>
        <w:tc>
          <w:tcPr>
            <w:tcW w:w="729" w:type="dxa"/>
            <w:shd w:val="clear" w:color="auto" w:fill="00B0F0"/>
          </w:tcPr>
          <w:p w:rsidR="001F07A0" w:rsidRPr="00BA01AB" w:rsidRDefault="008C0B37" w:rsidP="00BA01AB">
            <w:pPr>
              <w:jc w:val="center"/>
              <w:rPr>
                <w:b/>
              </w:rPr>
            </w:pPr>
            <w:r>
              <w:rPr>
                <w:b/>
              </w:rPr>
              <w:t>610</w:t>
            </w:r>
          </w:p>
        </w:tc>
      </w:tr>
    </w:tbl>
    <w:p w:rsidR="001F07A0" w:rsidRDefault="008C0B37">
      <w:r>
        <w:rPr>
          <w:noProof/>
        </w:rPr>
        <w:drawing>
          <wp:inline distT="0" distB="0" distL="0" distR="0" wp14:anchorId="5EDE0788" wp14:editId="06D3E21F">
            <wp:extent cx="5943600" cy="2638425"/>
            <wp:effectExtent l="95250" t="952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8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3155" w:rsidRDefault="00A33155"/>
    <w:p w:rsidR="002436C8" w:rsidRPr="002436C8" w:rsidRDefault="00BA01AB" w:rsidP="002436C8">
      <w:pPr>
        <w:rPr>
          <w:b/>
        </w:rPr>
      </w:pPr>
      <w:r w:rsidRPr="002436C8">
        <w:rPr>
          <w:b/>
        </w:rPr>
        <w:t>DESCRIPTION</w:t>
      </w:r>
    </w:p>
    <w:p w:rsidR="0031287B" w:rsidRPr="0074604C" w:rsidRDefault="008C0B37" w:rsidP="00BA01AB">
      <w:bookmarkStart w:id="0" w:name="_GoBack"/>
      <w:r w:rsidRPr="008C0B37">
        <w:t>Reliance Capital Limited is a non-banking financial services company. The Company has interests in asset management and mutual funds, pension funds, life and general insurance, commercial finance, home finance, stock broking services, wealth management services, financial products distribution, asset reconstruction and other activities in the financial services sector. The Company's segments include Finance &amp; Investments, which includes the corporate lending and investment activities; Asset Management, which includes asset management activities, including mutual fund and portfolio management services; General Insurance, which includes the general insurance business; Life Insurance, which includes the life insurance business; Commercial Finance, which includes the consumer finance and home finance businesses, and Others, which includes other financial and allied services. It also offers mortgages, small and medium enterprises (SME) loans, vehicle loans and infrastructure loans.</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bookmarkEnd w:id="0"/>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lastRenderedPageBreak/>
        <w:br/>
      </w:r>
    </w:p>
    <w:p w:rsidR="0031287B" w:rsidRDefault="0031287B" w:rsidP="0031287B">
      <w:pPr>
        <w:rPr>
          <w:b/>
        </w:rPr>
      </w:pPr>
    </w:p>
    <w:p w:rsidR="0031287B" w:rsidRDefault="0031287B" w:rsidP="0031287B">
      <w:pPr>
        <w:rPr>
          <w:b/>
        </w:rPr>
      </w:pPr>
      <w:r>
        <w:rPr>
          <w:b/>
        </w:rPr>
        <w:t>TECHNICAL VIEW</w:t>
      </w:r>
    </w:p>
    <w:p w:rsidR="0031287B" w:rsidRDefault="0053061B" w:rsidP="0031287B">
      <w:pPr>
        <w:pStyle w:val="ListParagraph"/>
        <w:numPr>
          <w:ilvl w:val="0"/>
          <w:numId w:val="1"/>
        </w:numPr>
      </w:pPr>
      <w:r>
        <w:t>I</w:t>
      </w:r>
      <w:r w:rsidRPr="00BA01AB">
        <w:t>n daily candle</w:t>
      </w:r>
      <w:r w:rsidR="008C0B37">
        <w:t xml:space="preserve"> RELCAPITAL was taking support of its day’s low and looking bullish.</w:t>
      </w:r>
    </w:p>
    <w:p w:rsidR="0031287B" w:rsidRDefault="0053061B" w:rsidP="0031287B">
      <w:pPr>
        <w:pStyle w:val="ListParagraph"/>
        <w:numPr>
          <w:ilvl w:val="0"/>
          <w:numId w:val="1"/>
        </w:numPr>
      </w:pPr>
      <w:r>
        <w:t xml:space="preserve">In </w:t>
      </w:r>
      <w:r w:rsidR="008C0B37">
        <w:t>short te</w:t>
      </w:r>
      <w:r w:rsidR="00BB2475">
        <w:t>rm candle stick it made a BULLISH HAMMER chart pattern, and its short term structure was looking bullish.</w:t>
      </w:r>
    </w:p>
    <w:p w:rsidR="0031287B" w:rsidRDefault="0053061B" w:rsidP="0031287B">
      <w:pPr>
        <w:pStyle w:val="ListParagraph"/>
        <w:numPr>
          <w:ilvl w:val="0"/>
          <w:numId w:val="1"/>
        </w:numPr>
      </w:pPr>
      <w:r>
        <w:t xml:space="preserve">After making three bearish break away in </w:t>
      </w:r>
      <w:r w:rsidR="0074604C">
        <w:t>15 minute</w:t>
      </w:r>
      <w:r>
        <w:t xml:space="preserve"> candle</w:t>
      </w:r>
      <w:r w:rsidR="0074604C">
        <w:t xml:space="preserve"> stick chart p</w:t>
      </w:r>
      <w:r w:rsidR="00BB2475">
        <w:t>attern it made a bullish candle, I am expecting it can be gap up for next trading day.</w:t>
      </w:r>
    </w:p>
    <w:p w:rsidR="00804D62" w:rsidRDefault="0053061B" w:rsidP="0031287B">
      <w:pPr>
        <w:pStyle w:val="ListParagraph"/>
        <w:numPr>
          <w:ilvl w:val="0"/>
          <w:numId w:val="1"/>
        </w:numPr>
      </w:pPr>
      <w:r>
        <w:t xml:space="preserve">In daily candle it was taking </w:t>
      </w:r>
      <w:proofErr w:type="spellStart"/>
      <w:r w:rsidR="0074604C">
        <w:t>suppport</w:t>
      </w:r>
      <w:proofErr w:type="spellEnd"/>
      <w:r>
        <w:t xml:space="preserve"> of its day’s </w:t>
      </w:r>
      <w:r w:rsidR="0074604C">
        <w:t>low</w:t>
      </w:r>
      <w:r>
        <w:t xml:space="preserve"> also</w:t>
      </w:r>
    </w:p>
    <w:p w:rsidR="0053061B" w:rsidRDefault="00804D62" w:rsidP="0031287B">
      <w:pPr>
        <w:pStyle w:val="ListParagraph"/>
        <w:numPr>
          <w:ilvl w:val="0"/>
          <w:numId w:val="1"/>
        </w:numPr>
      </w:pPr>
      <w:r>
        <w:t>Near closing I saw continuous buying with huge OI in RELCAPITAL.</w:t>
      </w:r>
    </w:p>
    <w:p w:rsidR="00804D62" w:rsidRPr="00804D62" w:rsidRDefault="00804D62" w:rsidP="00804D62">
      <w:pPr>
        <w:rPr>
          <w:b/>
        </w:rPr>
      </w:pPr>
      <w:r w:rsidRPr="00804D62">
        <w:rPr>
          <w:b/>
        </w:rPr>
        <w:t>RECENT NEWS</w:t>
      </w:r>
    </w:p>
    <w:p w:rsidR="0053061B" w:rsidRDefault="00C80B87" w:rsidP="00A44539">
      <w:pPr>
        <w:pStyle w:val="ListParagraph"/>
        <w:numPr>
          <w:ilvl w:val="0"/>
          <w:numId w:val="1"/>
        </w:numPr>
      </w:pPr>
      <w:r w:rsidRPr="00C80B87">
        <w:t>Needle Action Activity Spotted in Reliance Capital Limited (RELCAPITAL.NS) as Shares Move -2.75%</w:t>
      </w:r>
    </w:p>
    <w:p w:rsidR="00C80B87" w:rsidRDefault="00C80B87" w:rsidP="00C80B87">
      <w:pPr>
        <w:pStyle w:val="ListParagraph"/>
        <w:numPr>
          <w:ilvl w:val="0"/>
          <w:numId w:val="1"/>
        </w:numPr>
      </w:pPr>
      <w:r w:rsidRPr="00C80B87">
        <w:t>Shares of Reliance Capital Limited (RELCAPITAL.NS) is moving on volatility today -2.75% or -15.90 from the open. The NSE listed company saw a recent bid of 562.25 on 2301530 volume.</w:t>
      </w:r>
    </w:p>
    <w:p w:rsidR="00C80B87" w:rsidRDefault="00C80B87" w:rsidP="00C80B87">
      <w:pPr>
        <w:pStyle w:val="ListParagraph"/>
        <w:numPr>
          <w:ilvl w:val="0"/>
          <w:numId w:val="1"/>
        </w:numPr>
      </w:pPr>
      <w:r w:rsidRPr="00C80B87">
        <w:t>Reliance Capital Limited (RELCAPITAL.NS) has a 14-day ATR of 25.70. The Average True Range is an investor tool used to measure stock volatility. The ATR is not used to figure out price direction, just to measure volatility. The ATR is an indicator developed by J. Welles Wilder. Wilder has developed multiple indicators that are still quite popular in today’s investing landscape. The general interpretation of the ATR is the higher the ATR value, the higher the volatility.</w:t>
      </w:r>
    </w:p>
    <w:p w:rsidR="0031287B" w:rsidRPr="00BA01AB" w:rsidRDefault="00C80B87" w:rsidP="00C80B87">
      <w:pPr>
        <w:pStyle w:val="ListParagraph"/>
        <w:numPr>
          <w:ilvl w:val="0"/>
          <w:numId w:val="1"/>
        </w:numPr>
      </w:pPr>
      <w:r w:rsidRPr="00C80B87">
        <w:t>Moving averages can help spot trends and price reversals. They may also be used to help find support or resistance levels. Moving averages are considered to be lagging indicators meaning that they confirm trends. A certain stock may be considered to be on an uptrend if trading above a moving average and the average is sloping upward. On the other side, a stock may be considered to be in a downtrend if trading below the moving average and sloping downward. Shares of Reliance Capital Limited (RELCAPITAL.NS) have a 7-day moving average of 589.25. Taking a glance at the relative strength indictor, we note that the 14-day RSI is currently at 54.50, the 7-day stands at 40.78, and the 3-day is sitting at 19.53.</w:t>
      </w:r>
      <w:r w:rsidR="0053061B">
        <w:br/>
      </w:r>
      <w:r w:rsidR="0031287B">
        <w:br/>
      </w:r>
      <w:r w:rsidR="0031287B" w:rsidRPr="00BA01AB">
        <w:br/>
      </w:r>
    </w:p>
    <w:p w:rsidR="00BA01AB" w:rsidRPr="002436C8" w:rsidRDefault="00BA01AB" w:rsidP="00BA01AB">
      <w:pPr>
        <w:rPr>
          <w:b/>
        </w:rPr>
      </w:pPr>
    </w:p>
    <w:p w:rsidR="005066EA" w:rsidRDefault="005066EA" w:rsidP="0031287B"/>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lastRenderedPageBreak/>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44608F" w:rsidRPr="00C80B87"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5066EA" w:rsidRPr="0031287B" w:rsidRDefault="005066EA" w:rsidP="0031287B">
      <w:pPr>
        <w:pStyle w:val="NormalWeb"/>
        <w:shd w:val="clear" w:color="auto" w:fill="FFFFFF"/>
        <w:spacing w:before="0" w:beforeAutospacing="0" w:after="150" w:afterAutospacing="0"/>
        <w:rPr>
          <w:rFonts w:asciiTheme="minorHAnsi" w:hAnsiTheme="minorHAnsi" w:cs="Arial"/>
          <w:color w:val="000000" w:themeColor="text1"/>
          <w:sz w:val="20"/>
          <w:szCs w:val="20"/>
        </w:rPr>
      </w:pPr>
    </w:p>
    <w:sectPr w:rsidR="005066EA" w:rsidRPr="0031287B"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653" w:rsidRDefault="006D3653" w:rsidP="00047A83">
      <w:pPr>
        <w:spacing w:after="0" w:line="240" w:lineRule="auto"/>
      </w:pPr>
      <w:r>
        <w:separator/>
      </w:r>
    </w:p>
  </w:endnote>
  <w:endnote w:type="continuationSeparator" w:id="0">
    <w:p w:rsidR="006D3653" w:rsidRDefault="006D3653"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 xml:space="preserve">Copyright © 2018 Research </w:t>
    </w:r>
    <w:proofErr w:type="spellStart"/>
    <w:r w:rsidRPr="00232E7D">
      <w:t>Infotech</w:t>
    </w:r>
    <w:proofErr w:type="spellEnd"/>
    <w:r w:rsidRPr="00232E7D">
      <w:t xml:space="preserve">. </w:t>
    </w:r>
    <w:proofErr w:type="gramStart"/>
    <w:r w:rsidRPr="00232E7D">
      <w:t>all</w:t>
    </w:r>
    <w:proofErr w:type="gramEnd"/>
    <w:r w:rsidRPr="00232E7D">
      <w:t xml:space="preserve">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653" w:rsidRDefault="006D3653" w:rsidP="00047A83">
      <w:pPr>
        <w:spacing w:after="0" w:line="240" w:lineRule="auto"/>
      </w:pPr>
      <w:r>
        <w:separator/>
      </w:r>
    </w:p>
  </w:footnote>
  <w:footnote w:type="continuationSeparator" w:id="0">
    <w:p w:rsidR="006D3653" w:rsidRDefault="006D3653"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1F07A0"/>
    <w:rsid w:val="00232E7D"/>
    <w:rsid w:val="002436C8"/>
    <w:rsid w:val="00293D98"/>
    <w:rsid w:val="0031287B"/>
    <w:rsid w:val="00383530"/>
    <w:rsid w:val="0044608F"/>
    <w:rsid w:val="004C5957"/>
    <w:rsid w:val="004D2356"/>
    <w:rsid w:val="005066EA"/>
    <w:rsid w:val="0053061B"/>
    <w:rsid w:val="005D1B97"/>
    <w:rsid w:val="006D3653"/>
    <w:rsid w:val="00712DCA"/>
    <w:rsid w:val="0074604C"/>
    <w:rsid w:val="00804D62"/>
    <w:rsid w:val="008C0B37"/>
    <w:rsid w:val="00A33155"/>
    <w:rsid w:val="00BA01AB"/>
    <w:rsid w:val="00BB2475"/>
    <w:rsid w:val="00BB5902"/>
    <w:rsid w:val="00C029CA"/>
    <w:rsid w:val="00C52C49"/>
    <w:rsid w:val="00C80B87"/>
    <w:rsid w:val="00CF4818"/>
    <w:rsid w:val="00CF7C05"/>
    <w:rsid w:val="00D1679B"/>
    <w:rsid w:val="00E3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18-01-2018</dc:subject>
  <dc:creator>Deepak Raj Pal</dc:creator>
  <cp:keywords/>
  <dc:description/>
  <cp:lastModifiedBy>Deepak Raj Pal</cp:lastModifiedBy>
  <cp:revision>16</cp:revision>
  <dcterms:created xsi:type="dcterms:W3CDTF">2018-01-15T15:05:00Z</dcterms:created>
  <dcterms:modified xsi:type="dcterms:W3CDTF">2018-01-17T17:36:00Z</dcterms:modified>
</cp:coreProperties>
</file>