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2864098"/>
        <w:docPartObj>
          <w:docPartGallery w:val="Cover Pages"/>
          <w:docPartUnique/>
        </w:docPartObj>
      </w:sdtPr>
      <w:sdtEndPr/>
      <w:sdtContent>
        <w:p w:rsidR="004C5957" w:rsidRDefault="004C5957">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2247900" cy="10125075"/>
                    <wp:effectExtent l="0" t="0" r="0" b="952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900" cy="101250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b/>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C5957" w:rsidRDefault="002B06AF">
                                    <w:pPr>
                                      <w:pStyle w:val="Subtitle"/>
                                      <w:rPr>
                                        <w:rFonts w:cstheme="minorBidi"/>
                                        <w:color w:val="FFFFFF" w:themeColor="background1"/>
                                      </w:rPr>
                                    </w:pPr>
                                    <w:r>
                                      <w:rPr>
                                        <w:rFonts w:cstheme="minorBidi"/>
                                        <w:b/>
                                        <w:color w:val="FFFFFF" w:themeColor="background1"/>
                                      </w:rPr>
                                      <w:t>31</w:t>
                                    </w:r>
                                    <w:r w:rsidR="0044608F" w:rsidRPr="00BA01AB">
                                      <w:rPr>
                                        <w:rFonts w:cstheme="minorBidi"/>
                                        <w:b/>
                                        <w:color w:val="FFFFFF" w:themeColor="background1"/>
                                      </w:rPr>
                                      <w:t>-01-2018</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72" o:spid="_x0000_s1026" style="position:absolute;margin-left:125.8pt;margin-top:0;width:177pt;height:797.25pt;z-index:2516602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" fillcolor="#44546a [3215]" stroked="f" strokeweight="1pt">
                    <v:path arrowok="t"/>
                    <v:textbox inset="14.4pt,,14.4pt">
                      <w:txbxContent>
                        <w:sdt>
                          <w:sdtPr>
                            <w:rPr>
                              <w:rFonts w:cstheme="minorBidi"/>
                              <w:b/>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C5957" w:rsidRDefault="002B06AF">
                              <w:pPr>
                                <w:pStyle w:val="Subtitle"/>
                                <w:rPr>
                                  <w:rFonts w:cstheme="minorBidi"/>
                                  <w:color w:val="FFFFFF" w:themeColor="background1"/>
                                </w:rPr>
                              </w:pPr>
                              <w:r>
                                <w:rPr>
                                  <w:rFonts w:cstheme="minorBidi"/>
                                  <w:b/>
                                  <w:color w:val="FFFFFF" w:themeColor="background1"/>
                                </w:rPr>
                                <w:t>31</w:t>
                              </w:r>
                              <w:r w:rsidR="0044608F" w:rsidRPr="00BA01AB">
                                <w:rPr>
                                  <w:rFonts w:cstheme="minorBidi"/>
                                  <w:b/>
                                  <w:color w:val="FFFFFF" w:themeColor="background1"/>
                                </w:rPr>
                                <w:t>-01-2018</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-19050</wp:posOffset>
                    </wp:positionH>
                    <wp:positionV relativeFrom="paragraph">
                      <wp:posOffset>-1019175</wp:posOffset>
                    </wp:positionV>
                    <wp:extent cx="5525770" cy="1015365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770" cy="10153650"/>
                            </a:xfrm>
                            <a:prstGeom prst="rect">
                              <a:avLst/>
                            </a:prstGeom>
                            <a:solidFill>
                              <a:schemeClr val="accent1"/>
                            </a:solidFill>
                            <a:ln>
                              <a:noFill/>
                            </a:ln>
                            <a:extLst/>
                          </wps:spPr>
                          <wps:txbx>
                            <w:txbxContent>
                              <w:sdt>
                                <w:sdtPr>
                                  <w:rPr>
                                    <w:b/>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4C5957" w:rsidRDefault="004C5957">
                                    <w:pPr>
                                      <w:pStyle w:val="Title"/>
                                      <w:jc w:val="right"/>
                                      <w:rPr>
                                        <w:caps/>
                                        <w:color w:val="FFFFFF" w:themeColor="background1"/>
                                        <w:sz w:val="80"/>
                                        <w:szCs w:val="80"/>
                                      </w:rPr>
                                    </w:pPr>
                                    <w:r w:rsidRPr="00BA01AB">
                                      <w:rPr>
                                        <w:b/>
                                        <w:caps/>
                                        <w:color w:val="FFFFFF" w:themeColor="background1"/>
                                        <w:sz w:val="80"/>
                                        <w:szCs w:val="80"/>
                                      </w:rPr>
                                      <w:t xml:space="preserve">RESEARCH </w:t>
                                    </w:r>
                                    <w:r w:rsidR="0044608F" w:rsidRPr="00BA01AB">
                                      <w:rPr>
                                        <w:b/>
                                        <w:caps/>
                                        <w:color w:val="FFFFFF" w:themeColor="background1"/>
                                        <w:sz w:val="80"/>
                                        <w:szCs w:val="80"/>
                                      </w:rPr>
                                      <w:t>INFOTECH</w:t>
                                    </w:r>
                                  </w:p>
                                </w:sdtContent>
                              </w:sdt>
                              <w:p w:rsidR="004C5957" w:rsidRDefault="004C5957">
                                <w:pPr>
                                  <w:spacing w:before="240"/>
                                  <w:ind w:left="720"/>
                                  <w:jc w:val="right"/>
                                  <w:rPr>
                                    <w:color w:val="FFFFFF" w:themeColor="background1"/>
                                  </w:rPr>
                                </w:pPr>
                              </w:p>
                              <w:sdt>
                                <w:sdtPr>
                                  <w:rPr>
                                    <w:b/>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4C5957" w:rsidRDefault="0044608F">
                                    <w:pPr>
                                      <w:spacing w:before="240"/>
                                      <w:ind w:left="1008"/>
                                      <w:jc w:val="right"/>
                                      <w:rPr>
                                        <w:color w:val="FFFFFF" w:themeColor="background1"/>
                                      </w:rPr>
                                    </w:pPr>
                                    <w:r w:rsidRPr="00BA01AB">
                                      <w:rPr>
                                        <w:b/>
                                        <w:color w:val="FFFFFF" w:themeColor="background1"/>
                                        <w:sz w:val="21"/>
                                        <w:szCs w:val="21"/>
                                      </w:rPr>
                                      <w:t xml:space="preserve">DAILY </w:t>
                                    </w:r>
                                    <w:r w:rsidR="00BA01AB">
                                      <w:rPr>
                                        <w:b/>
                                        <w:color w:val="FFFFFF" w:themeColor="background1"/>
                                        <w:sz w:val="21"/>
                                        <w:szCs w:val="21"/>
                                      </w:rPr>
                                      <w:t>ANALYSIS</w:t>
                                    </w:r>
                                    <w:r w:rsidRPr="00BA01AB">
                                      <w:rPr>
                                        <w:b/>
                                        <w:color w:val="FFFFFF" w:themeColor="background1"/>
                                        <w:sz w:val="21"/>
                                        <w:szCs w:val="21"/>
                                      </w:rPr>
                                      <w:t xml:space="preserve"> </w:t>
                                    </w:r>
                                    <w:r w:rsidR="004C5957" w:rsidRPr="00BA01AB">
                                      <w:rPr>
                                        <w:b/>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1.5pt;margin-top:-80.25pt;width:435.1pt;height:79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" fillcolor="#5b9bd5 [3204]" stroked="f">
                    <v:path arrowok="t"/>
                    <v:textbox inset="21.6pt,1in,21.6pt">
                      <w:txbxContent>
                        <w:sdt>
                          <w:sdtPr>
                            <w:rPr>
                              <w:b/>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C5957" w:rsidRDefault="004C5957">
                              <w:pPr>
                                <w:pStyle w:val="Title"/>
                                <w:jc w:val="right"/>
                                <w:rPr>
                                  <w:caps/>
                                  <w:color w:val="FFFFFF" w:themeColor="background1"/>
                                  <w:sz w:val="80"/>
                                  <w:szCs w:val="80"/>
                                </w:rPr>
                              </w:pPr>
                              <w:r w:rsidRPr="00BA01AB">
                                <w:rPr>
                                  <w:b/>
                                  <w:caps/>
                                  <w:color w:val="FFFFFF" w:themeColor="background1"/>
                                  <w:sz w:val="80"/>
                                  <w:szCs w:val="80"/>
                                </w:rPr>
                                <w:t xml:space="preserve">RESEARCH </w:t>
                              </w:r>
                              <w:r w:rsidR="0044608F" w:rsidRPr="00BA01AB">
                                <w:rPr>
                                  <w:b/>
                                  <w:caps/>
                                  <w:color w:val="FFFFFF" w:themeColor="background1"/>
                                  <w:sz w:val="80"/>
                                  <w:szCs w:val="80"/>
                                </w:rPr>
                                <w:t>INFOTECH</w:t>
                              </w:r>
                            </w:p>
                          </w:sdtContent>
                        </w:sdt>
                        <w:p w:rsidR="004C5957" w:rsidRDefault="004C5957">
                          <w:pPr>
                            <w:spacing w:before="240"/>
                            <w:ind w:left="720"/>
                            <w:jc w:val="right"/>
                            <w:rPr>
                              <w:color w:val="FFFFFF" w:themeColor="background1"/>
                            </w:rPr>
                          </w:pPr>
                        </w:p>
                        <w:sdt>
                          <w:sdtPr>
                            <w:rPr>
                              <w:b/>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4C5957" w:rsidRDefault="0044608F">
                              <w:pPr>
                                <w:spacing w:before="240"/>
                                <w:ind w:left="1008"/>
                                <w:jc w:val="right"/>
                                <w:rPr>
                                  <w:color w:val="FFFFFF" w:themeColor="background1"/>
                                </w:rPr>
                              </w:pPr>
                              <w:r w:rsidRPr="00BA01AB">
                                <w:rPr>
                                  <w:b/>
                                  <w:color w:val="FFFFFF" w:themeColor="background1"/>
                                  <w:sz w:val="21"/>
                                  <w:szCs w:val="21"/>
                                </w:rPr>
                                <w:t xml:space="preserve">DAILY </w:t>
                              </w:r>
                              <w:r w:rsidR="00BA01AB">
                                <w:rPr>
                                  <w:b/>
                                  <w:color w:val="FFFFFF" w:themeColor="background1"/>
                                  <w:sz w:val="21"/>
                                  <w:szCs w:val="21"/>
                                </w:rPr>
                                <w:t>ANALYSIS</w:t>
                              </w:r>
                              <w:r w:rsidRPr="00BA01AB">
                                <w:rPr>
                                  <w:b/>
                                  <w:color w:val="FFFFFF" w:themeColor="background1"/>
                                  <w:sz w:val="21"/>
                                  <w:szCs w:val="21"/>
                                </w:rPr>
                                <w:t xml:space="preserve"> </w:t>
                              </w:r>
                              <w:r w:rsidR="004C5957" w:rsidRPr="00BA01AB">
                                <w:rPr>
                                  <w:b/>
                                  <w:color w:val="FFFFFF" w:themeColor="background1"/>
                                  <w:sz w:val="21"/>
                                  <w:szCs w:val="21"/>
                                </w:rPr>
                                <w:t xml:space="preserve"> </w:t>
                              </w:r>
                            </w:p>
                          </w:sdtContent>
                        </w:sdt>
                      </w:txbxContent>
                    </v:textbox>
                    <w10:wrap anchorx="page"/>
                  </v:rect>
                </w:pict>
              </mc:Fallback>
            </mc:AlternateContent>
          </w:r>
        </w:p>
        <w:p w:rsidR="004C5957" w:rsidRDefault="004C5957"/>
        <w:p w:rsidR="004C5957" w:rsidRDefault="004C5957">
          <w:r>
            <w:br w:type="page"/>
          </w:r>
        </w:p>
      </w:sdtContent>
    </w:sdt>
    <w:p w:rsidR="004C5957" w:rsidRDefault="004C5957"/>
    <w:tbl>
      <w:tblPr>
        <w:tblpPr w:leftFromText="180" w:rightFromText="180" w:vertAnchor="page" w:horzAnchor="margin" w:tblpXSpec="center" w:tblpY="16"/>
        <w:tblW w:w="12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11"/>
      </w:tblGrid>
      <w:tr w:rsidR="004C5957" w:rsidTr="0031287B">
        <w:trPr>
          <w:trHeight w:val="1212"/>
        </w:trPr>
        <w:tc>
          <w:tcPr>
            <w:tcW w:w="12111" w:type="dxa"/>
            <w:shd w:val="clear" w:color="auto" w:fill="00B0F0"/>
          </w:tcPr>
          <w:p w:rsidR="004C5957" w:rsidRDefault="004C5957" w:rsidP="004C5957">
            <w:r>
              <w:rPr>
                <w:noProof/>
              </w:rPr>
              <w:t xml:space="preserve">          </w:t>
            </w:r>
            <w:r>
              <w:rPr>
                <w:noProof/>
              </w:rPr>
              <w:drawing>
                <wp:inline distT="0" distB="0" distL="0" distR="0" wp14:anchorId="69E041AB" wp14:editId="5B443920">
                  <wp:extent cx="2286000" cy="1028700"/>
                  <wp:effectExtent l="0" t="0" r="0" b="0"/>
                  <wp:docPr id="1" name="Picture 1"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infotech.co.in/storag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Pr>
                <w:noProof/>
              </w:rPr>
              <w:drawing>
                <wp:inline distT="0" distB="0" distL="0" distR="0" wp14:anchorId="37580118" wp14:editId="462EC3F2">
                  <wp:extent cx="4208145" cy="971550"/>
                  <wp:effectExtent l="0" t="0" r="1905" b="0"/>
                  <wp:docPr id="2" name="Picture 2" descr="Image result for S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322" cy="986136"/>
                          </a:xfrm>
                          <a:prstGeom prst="rect">
                            <a:avLst/>
                          </a:prstGeom>
                          <a:noFill/>
                          <a:ln>
                            <a:noFill/>
                          </a:ln>
                        </pic:spPr>
                      </pic:pic>
                    </a:graphicData>
                  </a:graphic>
                </wp:inline>
              </w:drawing>
            </w:r>
          </w:p>
        </w:tc>
      </w:tr>
    </w:tbl>
    <w:tbl>
      <w:tblPr>
        <w:tblStyle w:val="TableGrid"/>
        <w:tblpPr w:leftFromText="180" w:rightFromText="180" w:vertAnchor="text" w:horzAnchor="page" w:tblpX="1006" w:tblpY="-65"/>
        <w:tblW w:w="10757" w:type="dxa"/>
        <w:shd w:val="clear" w:color="auto" w:fill="00B0F0"/>
        <w:tblLook w:val="04A0" w:firstRow="1" w:lastRow="0" w:firstColumn="1" w:lastColumn="0" w:noHBand="0" w:noVBand="1"/>
      </w:tblPr>
      <w:tblGrid>
        <w:gridCol w:w="10757"/>
      </w:tblGrid>
      <w:tr w:rsidR="0044608F" w:rsidTr="00113182">
        <w:trPr>
          <w:trHeight w:val="710"/>
        </w:trPr>
        <w:tc>
          <w:tcPr>
            <w:tcW w:w="10757" w:type="dxa"/>
            <w:shd w:val="clear" w:color="auto" w:fill="00B0F0"/>
          </w:tcPr>
          <w:p w:rsidR="0044608F" w:rsidRPr="00113182" w:rsidRDefault="00FC2F4A" w:rsidP="00FC2F4A">
            <w:pPr>
              <w:jc w:val="center"/>
              <w:rPr>
                <w:b/>
                <w:sz w:val="26"/>
                <w:szCs w:val="26"/>
              </w:rPr>
            </w:pPr>
            <w:r w:rsidRPr="00FC2F4A">
              <w:rPr>
                <w:b/>
                <w:sz w:val="26"/>
                <w:szCs w:val="26"/>
              </w:rPr>
              <w:t>INDIAN HOTELS COMPANY LTD</w:t>
            </w:r>
            <w:r w:rsidR="00113182" w:rsidRPr="00113182">
              <w:rPr>
                <w:b/>
                <w:sz w:val="26"/>
                <w:szCs w:val="26"/>
              </w:rPr>
              <w:br/>
            </w:r>
            <w:r w:rsidR="002436C8" w:rsidRPr="00113182">
              <w:rPr>
                <w:b/>
                <w:sz w:val="26"/>
                <w:szCs w:val="26"/>
              </w:rPr>
              <w:t>(</w:t>
            </w:r>
            <w:r w:rsidR="009F06FE" w:rsidRPr="00113182">
              <w:rPr>
                <w:b/>
                <w:sz w:val="26"/>
                <w:szCs w:val="26"/>
              </w:rPr>
              <w:t>NSE-</w:t>
            </w:r>
            <w:r>
              <w:rPr>
                <w:b/>
                <w:sz w:val="26"/>
                <w:szCs w:val="26"/>
              </w:rPr>
              <w:t>INDHOTEL</w:t>
            </w:r>
            <w:r w:rsidR="002436C8" w:rsidRPr="00113182">
              <w:rPr>
                <w:b/>
                <w:sz w:val="26"/>
                <w:szCs w:val="26"/>
              </w:rPr>
              <w:t>)</w:t>
            </w:r>
            <w:r w:rsidR="001F07A0" w:rsidRPr="00113182">
              <w:rPr>
                <w:b/>
                <w:sz w:val="26"/>
                <w:szCs w:val="26"/>
              </w:rPr>
              <w:br/>
            </w:r>
          </w:p>
        </w:tc>
      </w:tr>
    </w:tbl>
    <w:tbl>
      <w:tblPr>
        <w:tblpPr w:leftFromText="180" w:rightFromText="180" w:vertAnchor="text" w:horzAnchor="page" w:tblpX="6331" w:tblpY="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000" w:firstRow="0" w:lastRow="0" w:firstColumn="0" w:lastColumn="0" w:noHBand="0" w:noVBand="0"/>
      </w:tblPr>
      <w:tblGrid>
        <w:gridCol w:w="1486"/>
        <w:gridCol w:w="1209"/>
        <w:gridCol w:w="1150"/>
      </w:tblGrid>
      <w:tr w:rsidR="008C0B37" w:rsidTr="008C0B37">
        <w:trPr>
          <w:trHeight w:val="118"/>
        </w:trPr>
        <w:tc>
          <w:tcPr>
            <w:tcW w:w="1486" w:type="dxa"/>
            <w:shd w:val="clear" w:color="auto" w:fill="00B0F0"/>
          </w:tcPr>
          <w:p w:rsidR="008C0B37" w:rsidRPr="00BA01AB" w:rsidRDefault="008C0B37" w:rsidP="008C0B37">
            <w:pPr>
              <w:jc w:val="center"/>
              <w:rPr>
                <w:b/>
              </w:rPr>
            </w:pPr>
            <w:r>
              <w:rPr>
                <w:b/>
              </w:rPr>
              <w:t>BUY</w:t>
            </w:r>
          </w:p>
        </w:tc>
        <w:tc>
          <w:tcPr>
            <w:tcW w:w="1209" w:type="dxa"/>
            <w:shd w:val="clear" w:color="auto" w:fill="00B0F0"/>
          </w:tcPr>
          <w:p w:rsidR="008C0B37" w:rsidRPr="00BA01AB" w:rsidRDefault="00FC2F4A" w:rsidP="00113182">
            <w:pPr>
              <w:jc w:val="center"/>
              <w:rPr>
                <w:b/>
              </w:rPr>
            </w:pPr>
            <w:r>
              <w:rPr>
                <w:b/>
              </w:rPr>
              <w:t>141-142</w:t>
            </w:r>
            <w:r w:rsidR="0073074F">
              <w:rPr>
                <w:b/>
              </w:rPr>
              <w:t xml:space="preserve">   </w:t>
            </w:r>
          </w:p>
        </w:tc>
        <w:tc>
          <w:tcPr>
            <w:tcW w:w="1150" w:type="dxa"/>
            <w:shd w:val="clear" w:color="auto" w:fill="00B0F0"/>
          </w:tcPr>
          <w:p w:rsidR="008C0B37" w:rsidRPr="00BA01AB" w:rsidRDefault="008C0B37" w:rsidP="00FC2F4A">
            <w:pPr>
              <w:jc w:val="center"/>
              <w:rPr>
                <w:b/>
              </w:rPr>
            </w:pPr>
            <w:r>
              <w:rPr>
                <w:b/>
              </w:rPr>
              <w:t>SL-</w:t>
            </w:r>
            <w:r w:rsidR="00FC2F4A">
              <w:rPr>
                <w:b/>
              </w:rPr>
              <w:t>130</w:t>
            </w:r>
          </w:p>
        </w:tc>
      </w:tr>
      <w:tr w:rsidR="008C0B37" w:rsidTr="008C0B37">
        <w:trPr>
          <w:trHeight w:val="196"/>
        </w:trPr>
        <w:tc>
          <w:tcPr>
            <w:tcW w:w="1486" w:type="dxa"/>
            <w:shd w:val="clear" w:color="auto" w:fill="00B0F0"/>
          </w:tcPr>
          <w:p w:rsidR="008C0B37" w:rsidRPr="00BA01AB" w:rsidRDefault="008C0B37" w:rsidP="00FC2F4A">
            <w:pPr>
              <w:jc w:val="center"/>
              <w:rPr>
                <w:b/>
              </w:rPr>
            </w:pPr>
            <w:r>
              <w:rPr>
                <w:b/>
              </w:rPr>
              <w:t xml:space="preserve">TGT 1- </w:t>
            </w:r>
            <w:r w:rsidR="00FC2F4A">
              <w:rPr>
                <w:b/>
              </w:rPr>
              <w:t>150</w:t>
            </w:r>
          </w:p>
        </w:tc>
        <w:tc>
          <w:tcPr>
            <w:tcW w:w="1209" w:type="dxa"/>
            <w:shd w:val="clear" w:color="auto" w:fill="00B0F0"/>
          </w:tcPr>
          <w:p w:rsidR="008C0B37" w:rsidRPr="00BA01AB" w:rsidRDefault="008C0B37" w:rsidP="00FC2F4A">
            <w:pPr>
              <w:jc w:val="center"/>
              <w:rPr>
                <w:b/>
              </w:rPr>
            </w:pPr>
            <w:r>
              <w:rPr>
                <w:b/>
              </w:rPr>
              <w:t xml:space="preserve">TGT 2- </w:t>
            </w:r>
            <w:r w:rsidR="00FC2F4A">
              <w:rPr>
                <w:b/>
              </w:rPr>
              <w:t>160</w:t>
            </w:r>
          </w:p>
        </w:tc>
        <w:tc>
          <w:tcPr>
            <w:tcW w:w="1150" w:type="dxa"/>
            <w:shd w:val="clear" w:color="auto" w:fill="00B0F0"/>
          </w:tcPr>
          <w:p w:rsidR="008C0B37" w:rsidRPr="00BA01AB" w:rsidRDefault="008C0B37" w:rsidP="00FC2F4A">
            <w:pPr>
              <w:jc w:val="center"/>
              <w:rPr>
                <w:b/>
              </w:rPr>
            </w:pPr>
            <w:r>
              <w:rPr>
                <w:b/>
              </w:rPr>
              <w:t>SL-</w:t>
            </w:r>
            <w:r w:rsidR="00FC2F4A">
              <w:rPr>
                <w:b/>
              </w:rPr>
              <w:t>130</w:t>
            </w:r>
          </w:p>
        </w:tc>
      </w:tr>
    </w:tbl>
    <w:p w:rsidR="00A33155" w:rsidRDefault="00A33155">
      <w:r>
        <w:br/>
      </w:r>
    </w:p>
    <w:tbl>
      <w:tblPr>
        <w:tblStyle w:val="TableGrid"/>
        <w:tblW w:w="0" w:type="auto"/>
        <w:shd w:val="clear" w:color="auto" w:fill="00B0F0"/>
        <w:tblLook w:val="04A0" w:firstRow="1" w:lastRow="0" w:firstColumn="1" w:lastColumn="0" w:noHBand="0" w:noVBand="1"/>
      </w:tblPr>
      <w:tblGrid>
        <w:gridCol w:w="729"/>
        <w:gridCol w:w="729"/>
        <w:gridCol w:w="729"/>
        <w:gridCol w:w="729"/>
        <w:gridCol w:w="729"/>
      </w:tblGrid>
      <w:tr w:rsidR="001F07A0" w:rsidTr="00BA01AB">
        <w:trPr>
          <w:trHeight w:val="383"/>
        </w:trPr>
        <w:tc>
          <w:tcPr>
            <w:tcW w:w="729" w:type="dxa"/>
            <w:shd w:val="clear" w:color="auto" w:fill="00B0F0"/>
          </w:tcPr>
          <w:p w:rsidR="001F07A0" w:rsidRPr="00BA01AB" w:rsidRDefault="009F06FE" w:rsidP="00BA01AB">
            <w:pPr>
              <w:jc w:val="center"/>
              <w:rPr>
                <w:b/>
              </w:rPr>
            </w:pPr>
            <w:r>
              <w:rPr>
                <w:b/>
              </w:rPr>
              <w:t>S2</w:t>
            </w:r>
          </w:p>
        </w:tc>
        <w:tc>
          <w:tcPr>
            <w:tcW w:w="729" w:type="dxa"/>
            <w:shd w:val="clear" w:color="auto" w:fill="00B0F0"/>
          </w:tcPr>
          <w:p w:rsidR="001F07A0" w:rsidRPr="00BA01AB" w:rsidRDefault="009F06FE" w:rsidP="00BA01AB">
            <w:pPr>
              <w:jc w:val="center"/>
              <w:rPr>
                <w:b/>
              </w:rPr>
            </w:pPr>
            <w:r>
              <w:rPr>
                <w:b/>
              </w:rPr>
              <w:t>S1</w:t>
            </w:r>
          </w:p>
        </w:tc>
        <w:tc>
          <w:tcPr>
            <w:tcW w:w="729" w:type="dxa"/>
            <w:shd w:val="clear" w:color="auto" w:fill="00B0F0"/>
          </w:tcPr>
          <w:p w:rsidR="001F07A0" w:rsidRPr="00BA01AB" w:rsidRDefault="001F07A0" w:rsidP="00BA01AB">
            <w:pPr>
              <w:jc w:val="center"/>
              <w:rPr>
                <w:b/>
              </w:rPr>
            </w:pPr>
            <w:r w:rsidRPr="00BA01AB">
              <w:rPr>
                <w:b/>
              </w:rPr>
              <w:t>PP</w:t>
            </w:r>
          </w:p>
        </w:tc>
        <w:tc>
          <w:tcPr>
            <w:tcW w:w="729" w:type="dxa"/>
            <w:shd w:val="clear" w:color="auto" w:fill="00B0F0"/>
          </w:tcPr>
          <w:p w:rsidR="001F07A0" w:rsidRPr="00BA01AB" w:rsidRDefault="001F07A0" w:rsidP="00BA01AB">
            <w:pPr>
              <w:jc w:val="center"/>
              <w:rPr>
                <w:b/>
              </w:rPr>
            </w:pPr>
            <w:r w:rsidRPr="00BA01AB">
              <w:rPr>
                <w:b/>
              </w:rPr>
              <w:t>R1</w:t>
            </w:r>
          </w:p>
        </w:tc>
        <w:tc>
          <w:tcPr>
            <w:tcW w:w="729" w:type="dxa"/>
            <w:shd w:val="clear" w:color="auto" w:fill="00B0F0"/>
          </w:tcPr>
          <w:p w:rsidR="001F07A0" w:rsidRPr="00BA01AB" w:rsidRDefault="001F07A0" w:rsidP="00BA01AB">
            <w:pPr>
              <w:jc w:val="center"/>
              <w:rPr>
                <w:b/>
              </w:rPr>
            </w:pPr>
            <w:r w:rsidRPr="00BA01AB">
              <w:rPr>
                <w:b/>
              </w:rPr>
              <w:t>R2</w:t>
            </w:r>
          </w:p>
        </w:tc>
      </w:tr>
      <w:tr w:rsidR="001F07A0" w:rsidTr="00BA01AB">
        <w:trPr>
          <w:trHeight w:val="362"/>
        </w:trPr>
        <w:tc>
          <w:tcPr>
            <w:tcW w:w="729" w:type="dxa"/>
            <w:shd w:val="clear" w:color="auto" w:fill="00B0F0"/>
          </w:tcPr>
          <w:p w:rsidR="001F07A0" w:rsidRPr="00BA01AB" w:rsidRDefault="004977B2" w:rsidP="00BA01AB">
            <w:pPr>
              <w:jc w:val="center"/>
              <w:rPr>
                <w:b/>
              </w:rPr>
            </w:pPr>
            <w:r>
              <w:rPr>
                <w:b/>
              </w:rPr>
              <w:t>640</w:t>
            </w:r>
          </w:p>
        </w:tc>
        <w:tc>
          <w:tcPr>
            <w:tcW w:w="729" w:type="dxa"/>
            <w:shd w:val="clear" w:color="auto" w:fill="00B0F0"/>
          </w:tcPr>
          <w:p w:rsidR="001F07A0" w:rsidRPr="00BA01AB" w:rsidRDefault="004977B2" w:rsidP="00BA01AB">
            <w:pPr>
              <w:jc w:val="center"/>
              <w:rPr>
                <w:b/>
              </w:rPr>
            </w:pPr>
            <w:r>
              <w:rPr>
                <w:b/>
              </w:rPr>
              <w:t>690</w:t>
            </w:r>
          </w:p>
        </w:tc>
        <w:tc>
          <w:tcPr>
            <w:tcW w:w="729" w:type="dxa"/>
            <w:shd w:val="clear" w:color="auto" w:fill="00B0F0"/>
          </w:tcPr>
          <w:p w:rsidR="001F07A0" w:rsidRPr="00BA01AB" w:rsidRDefault="004977B2" w:rsidP="00BA01AB">
            <w:pPr>
              <w:jc w:val="center"/>
              <w:rPr>
                <w:b/>
              </w:rPr>
            </w:pPr>
            <w:r>
              <w:rPr>
                <w:b/>
              </w:rPr>
              <w:t>730</w:t>
            </w:r>
          </w:p>
        </w:tc>
        <w:tc>
          <w:tcPr>
            <w:tcW w:w="729" w:type="dxa"/>
            <w:shd w:val="clear" w:color="auto" w:fill="00B0F0"/>
          </w:tcPr>
          <w:p w:rsidR="001F07A0" w:rsidRPr="00BA01AB" w:rsidRDefault="004977B2" w:rsidP="00BA01AB">
            <w:pPr>
              <w:jc w:val="center"/>
              <w:rPr>
                <w:b/>
              </w:rPr>
            </w:pPr>
            <w:r>
              <w:rPr>
                <w:b/>
              </w:rPr>
              <w:t>760</w:t>
            </w:r>
          </w:p>
        </w:tc>
        <w:tc>
          <w:tcPr>
            <w:tcW w:w="729" w:type="dxa"/>
            <w:shd w:val="clear" w:color="auto" w:fill="00B0F0"/>
          </w:tcPr>
          <w:p w:rsidR="001F07A0" w:rsidRPr="00BA01AB" w:rsidRDefault="004977B2" w:rsidP="00BA01AB">
            <w:pPr>
              <w:jc w:val="center"/>
              <w:rPr>
                <w:b/>
              </w:rPr>
            </w:pPr>
            <w:r>
              <w:rPr>
                <w:b/>
              </w:rPr>
              <w:t>820</w:t>
            </w:r>
          </w:p>
        </w:tc>
      </w:tr>
    </w:tbl>
    <w:p w:rsidR="001F07A0" w:rsidRDefault="00FC2F4A">
      <w:r>
        <w:rPr>
          <w:noProof/>
        </w:rPr>
        <w:drawing>
          <wp:inline distT="0" distB="0" distL="0" distR="0" wp14:anchorId="13917EF0" wp14:editId="048F39DC">
            <wp:extent cx="5943600" cy="2447925"/>
            <wp:effectExtent l="95250" t="95250" r="95250"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479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33155" w:rsidRDefault="00A33155"/>
    <w:p w:rsidR="002436C8" w:rsidRPr="002436C8" w:rsidRDefault="00BA01AB" w:rsidP="002436C8">
      <w:pPr>
        <w:rPr>
          <w:b/>
        </w:rPr>
      </w:pPr>
      <w:r w:rsidRPr="002436C8">
        <w:rPr>
          <w:b/>
        </w:rPr>
        <w:t>DESCRIPTION</w:t>
      </w:r>
    </w:p>
    <w:p w:rsidR="0031287B" w:rsidRPr="0074604C" w:rsidRDefault="00FC2F4A" w:rsidP="00BA01AB">
      <w:r w:rsidRPr="00FC2F4A">
        <w:t xml:space="preserve">The Indian Hotels Company Limited is a holding company. The Company is engaged in short-term accommodation activities, and restaurants and mobile food service activities. </w:t>
      </w:r>
      <w:r>
        <w:br/>
      </w:r>
      <w:r w:rsidRPr="00FC2F4A">
        <w:t xml:space="preserve">The Company is primarily engaged in the business of owning, operating and managing hotels, palaces and resorts. The Company's segments include </w:t>
      </w:r>
      <w:proofErr w:type="spellStart"/>
      <w:r w:rsidRPr="00FC2F4A">
        <w:t>Hoteliering</w:t>
      </w:r>
      <w:proofErr w:type="spellEnd"/>
      <w:r w:rsidRPr="00FC2F4A">
        <w:t xml:space="preserve"> and Others, which consists of air catering and investing activities. Its area of business includes </w:t>
      </w:r>
      <w:proofErr w:type="spellStart"/>
      <w:r w:rsidRPr="00FC2F4A">
        <w:t>Taj</w:t>
      </w:r>
      <w:proofErr w:type="spellEnd"/>
      <w:r w:rsidRPr="00FC2F4A">
        <w:t xml:space="preserve">, </w:t>
      </w:r>
      <w:proofErr w:type="spellStart"/>
      <w:r w:rsidRPr="00FC2F4A">
        <w:t>Taj</w:t>
      </w:r>
      <w:proofErr w:type="spellEnd"/>
      <w:r w:rsidRPr="00FC2F4A">
        <w:t xml:space="preserve"> Safaris, </w:t>
      </w:r>
      <w:proofErr w:type="spellStart"/>
      <w:r w:rsidRPr="00FC2F4A">
        <w:t>Vivanta</w:t>
      </w:r>
      <w:proofErr w:type="spellEnd"/>
      <w:r w:rsidRPr="00FC2F4A">
        <w:t xml:space="preserve"> by </w:t>
      </w:r>
      <w:proofErr w:type="spellStart"/>
      <w:r w:rsidRPr="00FC2F4A">
        <w:t>Taj</w:t>
      </w:r>
      <w:proofErr w:type="spellEnd"/>
      <w:r w:rsidRPr="00FC2F4A">
        <w:t xml:space="preserve">, The Gateway Hotel, Ginger, and </w:t>
      </w:r>
      <w:proofErr w:type="spellStart"/>
      <w:r w:rsidRPr="00FC2F4A">
        <w:t>Taj</w:t>
      </w:r>
      <w:proofErr w:type="spellEnd"/>
      <w:r w:rsidRPr="00FC2F4A">
        <w:t xml:space="preserve"> Trade and Transport.</w:t>
      </w:r>
      <w:r>
        <w:br/>
      </w:r>
      <w:r w:rsidRPr="00FC2F4A">
        <w:t xml:space="preserve"> Its other areas of business include </w:t>
      </w:r>
      <w:proofErr w:type="spellStart"/>
      <w:r w:rsidRPr="00FC2F4A">
        <w:t>Taj</w:t>
      </w:r>
      <w:proofErr w:type="spellEnd"/>
      <w:r w:rsidRPr="00FC2F4A">
        <w:t xml:space="preserve"> Air. The Company has approximately 110 hotels in over 60 locations, including over 25 Ginger hotels across India, with an additional approximately 20 international hotels in the Maldives, Malaysia, Australia, the United Kingdom, the United States, Bhutan, Sri Lanka, Africa and the Middle East.</w:t>
      </w:r>
      <w:r w:rsidR="00110907">
        <w:br/>
      </w:r>
      <w:r w:rsidRPr="00FC2F4A">
        <w:t xml:space="preserve">Its subsidiaries include TIFCO Holdings Limited, KTC Hotels Limited, </w:t>
      </w:r>
      <w:proofErr w:type="spellStart"/>
      <w:r w:rsidRPr="00FC2F4A">
        <w:t>Lands</w:t>
      </w:r>
      <w:proofErr w:type="spellEnd"/>
      <w:r w:rsidRPr="00FC2F4A">
        <w:t xml:space="preserve"> End Properties Private Limited and Sheena Investments Private Limited.</w:t>
      </w:r>
    </w:p>
    <w:tbl>
      <w:tblPr>
        <w:tblStyle w:val="TableGrid"/>
        <w:tblpPr w:leftFromText="180" w:rightFromText="180" w:vertAnchor="page" w:horzAnchor="margin" w:tblpXSpec="center" w:tblpY="61"/>
        <w:tblW w:w="12180" w:type="dxa"/>
        <w:tblLook w:val="04A0" w:firstRow="1" w:lastRow="0" w:firstColumn="1" w:lastColumn="0" w:noHBand="0" w:noVBand="1"/>
      </w:tblPr>
      <w:tblGrid>
        <w:gridCol w:w="12180"/>
      </w:tblGrid>
      <w:tr w:rsidR="0031287B" w:rsidTr="00066414">
        <w:trPr>
          <w:trHeight w:val="1811"/>
        </w:trPr>
        <w:tc>
          <w:tcPr>
            <w:tcW w:w="12180" w:type="dxa"/>
            <w:shd w:val="clear" w:color="auto" w:fill="00B0F0"/>
          </w:tcPr>
          <w:p w:rsidR="0031287B" w:rsidRDefault="0031287B" w:rsidP="0031287B">
            <w:r>
              <w:rPr>
                <w:noProof/>
              </w:rPr>
              <w:lastRenderedPageBreak/>
              <w:drawing>
                <wp:inline distT="0" distB="0" distL="0" distR="0" wp14:anchorId="120559A9" wp14:editId="724D70A0">
                  <wp:extent cx="2286000" cy="1028700"/>
                  <wp:effectExtent l="0" t="0" r="0" b="0"/>
                  <wp:docPr id="3" name="Picture 3"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infotech.co.in/storag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Pr>
                <w:noProof/>
              </w:rPr>
              <w:drawing>
                <wp:inline distT="0" distB="0" distL="0" distR="0" wp14:anchorId="1FE6935D" wp14:editId="6BB021F0">
                  <wp:extent cx="4208145" cy="971550"/>
                  <wp:effectExtent l="0" t="0" r="1905" b="0"/>
                  <wp:docPr id="4" name="Picture 4" descr="Image result for S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322" cy="986136"/>
                          </a:xfrm>
                          <a:prstGeom prst="rect">
                            <a:avLst/>
                          </a:prstGeom>
                          <a:noFill/>
                          <a:ln>
                            <a:noFill/>
                          </a:ln>
                        </pic:spPr>
                      </pic:pic>
                    </a:graphicData>
                  </a:graphic>
                </wp:inline>
              </w:drawing>
            </w:r>
          </w:p>
        </w:tc>
      </w:tr>
    </w:tbl>
    <w:p w:rsidR="0031287B" w:rsidRPr="002436C8" w:rsidRDefault="00BA01AB" w:rsidP="00BA01AB">
      <w:pPr>
        <w:rPr>
          <w:b/>
        </w:rPr>
      </w:pPr>
      <w:r>
        <w:lastRenderedPageBreak/>
        <w:br/>
      </w:r>
    </w:p>
    <w:p w:rsidR="0031287B" w:rsidRDefault="0031287B" w:rsidP="0031287B">
      <w:pPr>
        <w:rPr>
          <w:b/>
        </w:rPr>
      </w:pPr>
    </w:p>
    <w:p w:rsidR="004977B2" w:rsidRDefault="004977B2" w:rsidP="0031287B">
      <w:pPr>
        <w:rPr>
          <w:b/>
        </w:rPr>
      </w:pPr>
    </w:p>
    <w:p w:rsidR="0031287B" w:rsidRDefault="0031287B" w:rsidP="0031287B">
      <w:pPr>
        <w:rPr>
          <w:b/>
        </w:rPr>
      </w:pPr>
      <w:r>
        <w:rPr>
          <w:b/>
        </w:rPr>
        <w:t>TECHNICAL VIEW</w:t>
      </w:r>
    </w:p>
    <w:p w:rsidR="0031287B" w:rsidRDefault="00147867" w:rsidP="0031287B">
      <w:pPr>
        <w:pStyle w:val="ListParagraph"/>
        <w:numPr>
          <w:ilvl w:val="0"/>
          <w:numId w:val="1"/>
        </w:numPr>
      </w:pPr>
      <w:r>
        <w:t xml:space="preserve">In daily candle </w:t>
      </w:r>
      <w:r w:rsidR="00FC2F4A">
        <w:t>INDHOTEL</w:t>
      </w:r>
      <w:r w:rsidR="00366C82">
        <w:t xml:space="preserve"> </w:t>
      </w:r>
      <w:r>
        <w:t xml:space="preserve">was looking strong, it was taking support of its </w:t>
      </w:r>
      <w:r w:rsidR="00FC2F4A">
        <w:t>200</w:t>
      </w:r>
      <w:r>
        <w:t xml:space="preserve"> day’s EMA and looking </w:t>
      </w:r>
      <w:r w:rsidR="00FC2F4A">
        <w:t>reversal</w:t>
      </w:r>
      <w:r>
        <w:t>.</w:t>
      </w:r>
    </w:p>
    <w:p w:rsidR="0031287B" w:rsidRDefault="00366C82" w:rsidP="0031287B">
      <w:pPr>
        <w:pStyle w:val="ListParagraph"/>
        <w:numPr>
          <w:ilvl w:val="0"/>
          <w:numId w:val="1"/>
        </w:numPr>
      </w:pPr>
      <w:r>
        <w:t xml:space="preserve">From the opening it was </w:t>
      </w:r>
      <w:r w:rsidR="0073074F">
        <w:t xml:space="preserve">falling down </w:t>
      </w:r>
      <w:r w:rsidR="00147867">
        <w:t xml:space="preserve">but </w:t>
      </w:r>
      <w:r w:rsidR="0073074F">
        <w:t xml:space="preserve">near closing </w:t>
      </w:r>
      <w:r w:rsidR="00FC2F4A">
        <w:t>continuous fresh buying</w:t>
      </w:r>
      <w:r w:rsidR="00147867">
        <w:t xml:space="preserve"> it took support of its short term moving av</w:t>
      </w:r>
      <w:r w:rsidR="000C211A">
        <w:t>era</w:t>
      </w:r>
      <w:r w:rsidR="00147867">
        <w:t>g</w:t>
      </w:r>
      <w:r w:rsidR="000C211A">
        <w:t>e</w:t>
      </w:r>
      <w:r w:rsidR="00147867">
        <w:t xml:space="preserve"> and I saw fresh buying near closing.</w:t>
      </w:r>
    </w:p>
    <w:p w:rsidR="0031287B" w:rsidRDefault="00366C82" w:rsidP="0031287B">
      <w:pPr>
        <w:pStyle w:val="ListParagraph"/>
        <w:numPr>
          <w:ilvl w:val="0"/>
          <w:numId w:val="1"/>
        </w:numPr>
      </w:pPr>
      <w:r>
        <w:t>In short term its structure was also looking bullish.</w:t>
      </w:r>
    </w:p>
    <w:p w:rsidR="00804D62" w:rsidRDefault="0053061B" w:rsidP="0031287B">
      <w:pPr>
        <w:pStyle w:val="ListParagraph"/>
        <w:numPr>
          <w:ilvl w:val="0"/>
          <w:numId w:val="1"/>
        </w:numPr>
      </w:pPr>
      <w:r>
        <w:t xml:space="preserve">In daily candle </w:t>
      </w:r>
      <w:r w:rsidR="00FC2F4A">
        <w:t>made an inverted bullish hammer and tend to reversal</w:t>
      </w:r>
      <w:r w:rsidR="0009194C">
        <w:t>, next trading it can be gap up opening.</w:t>
      </w:r>
    </w:p>
    <w:p w:rsidR="00366C82" w:rsidRDefault="00366C82" w:rsidP="0031287B">
      <w:pPr>
        <w:pStyle w:val="ListParagraph"/>
        <w:numPr>
          <w:ilvl w:val="0"/>
          <w:numId w:val="1"/>
        </w:numPr>
      </w:pPr>
      <w:r>
        <w:t xml:space="preserve">Above its moving </w:t>
      </w:r>
      <w:proofErr w:type="spellStart"/>
      <w:r>
        <w:t>avg</w:t>
      </w:r>
      <w:proofErr w:type="spellEnd"/>
      <w:r>
        <w:t xml:space="preserve"> it made a bullish candle in daily candle stick chart pattern.</w:t>
      </w:r>
    </w:p>
    <w:p w:rsidR="00366C82" w:rsidRDefault="00366C82" w:rsidP="0031287B">
      <w:pPr>
        <w:pStyle w:val="ListParagraph"/>
        <w:numPr>
          <w:ilvl w:val="0"/>
          <w:numId w:val="1"/>
        </w:numPr>
      </w:pPr>
      <w:r>
        <w:t>Its</w:t>
      </w:r>
      <w:r w:rsidR="001576E5">
        <w:t xml:space="preserve"> daily </w:t>
      </w:r>
      <w:r w:rsidR="0073074F">
        <w:t xml:space="preserve">candle </w:t>
      </w:r>
      <w:r w:rsidR="00FC2F4A">
        <w:t xml:space="preserve">I saw </w:t>
      </w:r>
      <w:r w:rsidR="0073074F">
        <w:t>it made three bearish bre</w:t>
      </w:r>
      <w:r w:rsidR="00FC2F4A">
        <w:t>a</w:t>
      </w:r>
      <w:r w:rsidR="0073074F">
        <w:t>kaway</w:t>
      </w:r>
      <w:r w:rsidR="00FC2F4A">
        <w:t xml:space="preserve"> also</w:t>
      </w:r>
      <w:r w:rsidR="001576E5">
        <w:t>.</w:t>
      </w:r>
    </w:p>
    <w:p w:rsidR="00804D62" w:rsidRPr="00804D62" w:rsidRDefault="00804D62" w:rsidP="00804D62">
      <w:pPr>
        <w:rPr>
          <w:b/>
        </w:rPr>
      </w:pPr>
      <w:r w:rsidRPr="00804D62">
        <w:rPr>
          <w:b/>
        </w:rPr>
        <w:t>RECENT NEWS</w:t>
      </w:r>
    </w:p>
    <w:p w:rsidR="007E3EDF" w:rsidRDefault="00110907" w:rsidP="00110907">
      <w:pPr>
        <w:pStyle w:val="ListParagraph"/>
        <w:numPr>
          <w:ilvl w:val="0"/>
          <w:numId w:val="1"/>
        </w:numPr>
      </w:pPr>
      <w:r>
        <w:t xml:space="preserve">Indian Hotels Company Ltd </w:t>
      </w:r>
      <w:r w:rsidRPr="00110907">
        <w:t>(INDHOTEL, 500850) Stock &amp; Share Price Update With Analysis - January 30, 2018</w:t>
      </w:r>
      <w:r>
        <w:t>.</w:t>
      </w:r>
    </w:p>
    <w:p w:rsidR="00110907" w:rsidRDefault="00110907" w:rsidP="00110907">
      <w:pPr>
        <w:pStyle w:val="ListParagraph"/>
        <w:numPr>
          <w:ilvl w:val="0"/>
          <w:numId w:val="1"/>
        </w:numPr>
      </w:pPr>
      <w:r>
        <w:t xml:space="preserve">During the final trading hours Indian Hotels Company Ltd. was seen to be priced at Rs.143.55 while </w:t>
      </w:r>
      <w:r>
        <w:t>being 2.15 points above the day’</w:t>
      </w:r>
      <w:r>
        <w:t>s lowest and 3.8 poin</w:t>
      </w:r>
      <w:r>
        <w:t>ts below the day’</w:t>
      </w:r>
      <w:r>
        <w:t>s highest. With this, the day's high was Rs.147.35</w:t>
      </w:r>
      <w:r>
        <w:t xml:space="preserve"> and the day's low was Rs.141.40</w:t>
      </w:r>
      <w:r>
        <w:t xml:space="preserve">. </w:t>
      </w:r>
    </w:p>
    <w:p w:rsidR="007E3EDF" w:rsidRDefault="00110907" w:rsidP="00110907">
      <w:pPr>
        <w:pStyle w:val="ListParagraph"/>
        <w:numPr>
          <w:ilvl w:val="0"/>
          <w:numId w:val="1"/>
        </w:numPr>
      </w:pPr>
      <w:r w:rsidRPr="00110907">
        <w:t>Volume Moving the Tape 3.64% For The Indian Hotels Company Limited (INDHOTEL.NS)</w:t>
      </w:r>
      <w:r>
        <w:br/>
      </w:r>
      <w:r w:rsidR="007E3EDF">
        <w:t>A total of 356,294 shares were traded by this time of the day with the 5 day average volume being 498,529 , 10 day average volume being 587,128 and 30 day average volume being 1,270,700 .</w:t>
      </w:r>
    </w:p>
    <w:p w:rsidR="00110907" w:rsidRDefault="00110907" w:rsidP="00110907">
      <w:pPr>
        <w:pStyle w:val="ListParagraph"/>
        <w:numPr>
          <w:ilvl w:val="0"/>
          <w:numId w:val="1"/>
        </w:numPr>
      </w:pPr>
      <w:r w:rsidRPr="00110907">
        <w:t>The Indian Hotels Company Limited (INDHOTEL.NS) currently has a 14-day Commodity Channel Index (CCI) of -19.30. Active investors may choose to use this technical indicator as a stock evaluation tool. Used as a coincident indicator, the CCI reading above +100 would reflect strong price action which may signal an uptrend. On the flip side, a reading below -100 may signal a downtrend reflecting weak price action. Using the CCI as a leading indicator, technical analysts may use a +100 reading as an overbought signal and a -100 reading as an oversold indicator, suggesting a trend reversal.</w:t>
      </w:r>
    </w:p>
    <w:p w:rsidR="005066EA" w:rsidRDefault="00110907" w:rsidP="0031287B">
      <w:pPr>
        <w:pStyle w:val="ListParagraph"/>
        <w:numPr>
          <w:ilvl w:val="0"/>
          <w:numId w:val="1"/>
        </w:numPr>
      </w:pPr>
      <w:r w:rsidRPr="00110907">
        <w:t xml:space="preserve">The RSI, or Relative Strength Index, is a widely used technical momentum indicator that compares price movement over time. The RSI was created by J. Welles Wilder who was striving to measure whether or not a stock was overbought or oversold. The RSI may be useful for spotting abnormal price activity and volatility. The RSI oscillates on a scale from 0 to 100. </w:t>
      </w:r>
    </w:p>
    <w:p w:rsidR="0044608F" w:rsidRDefault="0044608F" w:rsidP="0044608F">
      <w:pPr>
        <w:pStyle w:val="Heading2"/>
        <w:pBdr>
          <w:bottom w:val="single" w:sz="6" w:space="0" w:color="DADADA"/>
        </w:pBdr>
        <w:shd w:val="clear" w:color="auto" w:fill="FFFFFF"/>
        <w:spacing w:before="0"/>
        <w:rPr>
          <w:rFonts w:ascii="Arial" w:hAnsi="Arial" w:cs="Arial"/>
          <w:b/>
          <w:bCs/>
          <w:color w:val="0F0F0F"/>
        </w:rPr>
      </w:pPr>
      <w:r>
        <w:rPr>
          <w:rFonts w:ascii="Arial" w:hAnsi="Arial" w:cs="Arial"/>
          <w:b/>
          <w:bCs/>
          <w:color w:val="0F0F0F"/>
        </w:rPr>
        <w:lastRenderedPageBreak/>
        <w:t>DISCLOSURE</w:t>
      </w:r>
    </w:p>
    <w:p w:rsidR="0044608F" w:rsidRPr="004D2356" w:rsidRDefault="0044608F" w:rsidP="0044608F"/>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5066EA" w:rsidRPr="000C211A" w:rsidRDefault="004D2356" w:rsidP="0031287B">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sectPr w:rsidR="005066EA" w:rsidRPr="000C211A" w:rsidSect="004C5957">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122" w:rsidRDefault="00B85122" w:rsidP="00047A83">
      <w:pPr>
        <w:spacing w:after="0" w:line="240" w:lineRule="auto"/>
      </w:pPr>
      <w:r>
        <w:separator/>
      </w:r>
    </w:p>
  </w:endnote>
  <w:endnote w:type="continuationSeparator" w:id="0">
    <w:p w:rsidR="00B85122" w:rsidRDefault="00B85122" w:rsidP="00047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232E7D" w:rsidRDefault="00232E7D">
    <w:pPr>
      <w:pStyle w:val="Footer"/>
    </w:pPr>
    <w:r w:rsidRPr="00232E7D">
      <w:t xml:space="preserve">Copyright © 2018 Research </w:t>
    </w:r>
    <w:proofErr w:type="spellStart"/>
    <w:r w:rsidRPr="00232E7D">
      <w:t>Infotech</w:t>
    </w:r>
    <w:proofErr w:type="spellEnd"/>
    <w:r w:rsidRPr="00232E7D">
      <w:t xml:space="preserve">. </w:t>
    </w:r>
    <w:proofErr w:type="gramStart"/>
    <w:r w:rsidRPr="00232E7D">
      <w:t>all</w:t>
    </w:r>
    <w:proofErr w:type="gramEnd"/>
    <w:r w:rsidRPr="00232E7D">
      <w:t xml:space="preserve"> rights reserved. | SEBI REGISTRATION NO: INA000003726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122" w:rsidRDefault="00B85122" w:rsidP="00047A83">
      <w:pPr>
        <w:spacing w:after="0" w:line="240" w:lineRule="auto"/>
      </w:pPr>
      <w:r>
        <w:separator/>
      </w:r>
    </w:p>
  </w:footnote>
  <w:footnote w:type="continuationSeparator" w:id="0">
    <w:p w:rsidR="00B85122" w:rsidRDefault="00B85122" w:rsidP="00047A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E5329"/>
    <w:multiLevelType w:val="hybridMultilevel"/>
    <w:tmpl w:val="0504B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83"/>
    <w:rsid w:val="00047A83"/>
    <w:rsid w:val="00066414"/>
    <w:rsid w:val="0009194C"/>
    <w:rsid w:val="000C211A"/>
    <w:rsid w:val="000F4F99"/>
    <w:rsid w:val="00110907"/>
    <w:rsid w:val="00113182"/>
    <w:rsid w:val="00147867"/>
    <w:rsid w:val="001576E5"/>
    <w:rsid w:val="001F07A0"/>
    <w:rsid w:val="00232E7D"/>
    <w:rsid w:val="002436C8"/>
    <w:rsid w:val="00293D98"/>
    <w:rsid w:val="002B06AF"/>
    <w:rsid w:val="0031287B"/>
    <w:rsid w:val="00320C36"/>
    <w:rsid w:val="00366C82"/>
    <w:rsid w:val="00383530"/>
    <w:rsid w:val="00390C40"/>
    <w:rsid w:val="0044608F"/>
    <w:rsid w:val="004977B2"/>
    <w:rsid w:val="004C5957"/>
    <w:rsid w:val="004D2356"/>
    <w:rsid w:val="005066EA"/>
    <w:rsid w:val="0053061B"/>
    <w:rsid w:val="005D1B97"/>
    <w:rsid w:val="006D3653"/>
    <w:rsid w:val="00712DCA"/>
    <w:rsid w:val="0073074F"/>
    <w:rsid w:val="0074604C"/>
    <w:rsid w:val="007826D1"/>
    <w:rsid w:val="007E3EDF"/>
    <w:rsid w:val="00804D62"/>
    <w:rsid w:val="008C0B37"/>
    <w:rsid w:val="00940F28"/>
    <w:rsid w:val="0097620D"/>
    <w:rsid w:val="009F06FE"/>
    <w:rsid w:val="00A2027D"/>
    <w:rsid w:val="00A33155"/>
    <w:rsid w:val="00B756B1"/>
    <w:rsid w:val="00B85122"/>
    <w:rsid w:val="00BA01AB"/>
    <w:rsid w:val="00BB2475"/>
    <w:rsid w:val="00BB5902"/>
    <w:rsid w:val="00C029CA"/>
    <w:rsid w:val="00C040DF"/>
    <w:rsid w:val="00C52C49"/>
    <w:rsid w:val="00C80B87"/>
    <w:rsid w:val="00CF4818"/>
    <w:rsid w:val="00CF7C05"/>
    <w:rsid w:val="00D1679B"/>
    <w:rsid w:val="00E01AD6"/>
    <w:rsid w:val="00E352BC"/>
    <w:rsid w:val="00EB3B18"/>
    <w:rsid w:val="00F671D3"/>
    <w:rsid w:val="00F73F5B"/>
    <w:rsid w:val="00FC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492EB3-15E4-4C25-9181-7FADC86A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1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31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A83"/>
  </w:style>
  <w:style w:type="paragraph" w:styleId="Footer">
    <w:name w:val="footer"/>
    <w:basedOn w:val="Normal"/>
    <w:link w:val="FooterChar"/>
    <w:uiPriority w:val="99"/>
    <w:unhideWhenUsed/>
    <w:rsid w:val="00047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A83"/>
  </w:style>
  <w:style w:type="character" w:styleId="Hyperlink">
    <w:name w:val="Hyperlink"/>
    <w:basedOn w:val="DefaultParagraphFont"/>
    <w:uiPriority w:val="99"/>
    <w:semiHidden/>
    <w:unhideWhenUsed/>
    <w:rsid w:val="004C5957"/>
    <w:rPr>
      <w:color w:val="0000FF"/>
      <w:u w:val="single"/>
    </w:rPr>
  </w:style>
  <w:style w:type="paragraph" w:styleId="Title">
    <w:name w:val="Title"/>
    <w:basedOn w:val="Normal"/>
    <w:next w:val="Normal"/>
    <w:link w:val="TitleChar"/>
    <w:uiPriority w:val="10"/>
    <w:qFormat/>
    <w:rsid w:val="004C595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C595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C595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C5957"/>
    <w:rPr>
      <w:rFonts w:eastAsiaTheme="minorEastAsia" w:cs="Times New Roman"/>
      <w:color w:val="5A5A5A" w:themeColor="text1" w:themeTint="A5"/>
      <w:spacing w:val="15"/>
    </w:rPr>
  </w:style>
  <w:style w:type="paragraph" w:styleId="NoSpacing">
    <w:name w:val="No Spacing"/>
    <w:uiPriority w:val="1"/>
    <w:qFormat/>
    <w:rsid w:val="00A33155"/>
    <w:pPr>
      <w:spacing w:after="0" w:line="240" w:lineRule="auto"/>
    </w:pPr>
  </w:style>
  <w:style w:type="character" w:customStyle="1" w:styleId="Heading1Char">
    <w:name w:val="Heading 1 Char"/>
    <w:basedOn w:val="DefaultParagraphFont"/>
    <w:link w:val="Heading1"/>
    <w:uiPriority w:val="9"/>
    <w:rsid w:val="00A331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31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46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46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0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66271">
      <w:bodyDiv w:val="1"/>
      <w:marLeft w:val="0"/>
      <w:marRight w:val="0"/>
      <w:marTop w:val="0"/>
      <w:marBottom w:val="0"/>
      <w:divBdr>
        <w:top w:val="none" w:sz="0" w:space="0" w:color="auto"/>
        <w:left w:val="none" w:sz="0" w:space="0" w:color="auto"/>
        <w:bottom w:val="none" w:sz="0" w:space="0" w:color="auto"/>
        <w:right w:val="none" w:sz="0" w:space="0" w:color="auto"/>
      </w:divBdr>
      <w:divsChild>
        <w:div w:id="1837305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DAILY ANALYSIS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RESEARCH INFOTECH</vt:lpstr>
    </vt:vector>
  </TitlesOfParts>
  <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INFOTECH</dc:title>
  <dc:subject>31-01-2018</dc:subject>
  <dc:creator>Deepak Raj Pal</dc:creator>
  <cp:keywords/>
  <dc:description/>
  <cp:lastModifiedBy>Deepak Raj Pal</cp:lastModifiedBy>
  <cp:revision>35</cp:revision>
  <dcterms:created xsi:type="dcterms:W3CDTF">2018-01-15T15:05:00Z</dcterms:created>
  <dcterms:modified xsi:type="dcterms:W3CDTF">2018-01-30T18:07:00Z</dcterms:modified>
</cp:coreProperties>
</file>