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2864098"/>
        <w:docPartObj>
          <w:docPartGallery w:val="Cover Pages"/>
          <w:docPartUnique/>
        </w:docPartObj>
      </w:sdtPr>
      <w:sdtEndPr/>
      <w:sdtContent>
        <w:p w:rsidR="004C5957" w:rsidRDefault="004C5957">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2247900" cy="10125075"/>
                    <wp:effectExtent l="0" t="0" r="0"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101250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347B6F">
                                    <w:pPr>
                                      <w:pStyle w:val="Subtitle"/>
                                      <w:rPr>
                                        <w:rFonts w:cstheme="minorBidi"/>
                                        <w:color w:val="FFFFFF" w:themeColor="background1"/>
                                      </w:rPr>
                                    </w:pPr>
                                    <w:r>
                                      <w:rPr>
                                        <w:rFonts w:cstheme="minorBidi"/>
                                        <w:b/>
                                        <w:color w:val="FFFFFF" w:themeColor="background1"/>
                                      </w:rPr>
                                      <w:t>0</w:t>
                                    </w:r>
                                    <w:r w:rsidR="00D05665">
                                      <w:rPr>
                                        <w:rFonts w:cstheme="minorBidi"/>
                                        <w:b/>
                                        <w:color w:val="FFFFFF" w:themeColor="background1"/>
                                      </w:rPr>
                                      <w:t>2</w:t>
                                    </w:r>
                                    <w:r>
                                      <w:rPr>
                                        <w:rFonts w:cstheme="minorBidi"/>
                                        <w:b/>
                                        <w:color w:val="FFFFFF" w:themeColor="background1"/>
                                      </w:rPr>
                                      <w:t>-02</w:t>
                                    </w:r>
                                    <w:r w:rsidR="0044608F" w:rsidRPr="00BA01AB">
                                      <w:rPr>
                                        <w:rFonts w:cstheme="minorBidi"/>
                                        <w:b/>
                                        <w:color w:val="FFFFFF" w:themeColor="background1"/>
                                      </w:rPr>
                                      <w:t>-2018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2" o:spid="_x0000_s1026" style="position:absolute;margin-left:125.8pt;margin-top:0;width:177pt;height:797.25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" fillcolor="#44546a [3215]" stroked="f" strokeweight="1pt">
                    <v:path arrowok="t"/>
                    <v:textbox inset="14.4pt,,14.4pt">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347B6F">
                              <w:pPr>
                                <w:pStyle w:val="Subtitle"/>
                                <w:rPr>
                                  <w:rFonts w:cstheme="minorBidi"/>
                                  <w:color w:val="FFFFFF" w:themeColor="background1"/>
                                </w:rPr>
                              </w:pPr>
                              <w:r>
                                <w:rPr>
                                  <w:rFonts w:cstheme="minorBidi"/>
                                  <w:b/>
                                  <w:color w:val="FFFFFF" w:themeColor="background1"/>
                                </w:rPr>
                                <w:t>0</w:t>
                              </w:r>
                              <w:r w:rsidR="00D05665">
                                <w:rPr>
                                  <w:rFonts w:cstheme="minorBidi"/>
                                  <w:b/>
                                  <w:color w:val="FFFFFF" w:themeColor="background1"/>
                                </w:rPr>
                                <w:t>2</w:t>
                              </w:r>
                              <w:r>
                                <w:rPr>
                                  <w:rFonts w:cstheme="minorBidi"/>
                                  <w:b/>
                                  <w:color w:val="FFFFFF" w:themeColor="background1"/>
                                </w:rPr>
                                <w:t>-02</w:t>
                              </w:r>
                              <w:r w:rsidR="0044608F" w:rsidRPr="00BA01AB">
                                <w:rPr>
                                  <w:rFonts w:cstheme="minorBidi"/>
                                  <w:b/>
                                  <w:color w:val="FFFFFF" w:themeColor="background1"/>
                                </w:rPr>
                                <w:t>-2018</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-19050</wp:posOffset>
                    </wp:positionH>
                    <wp:positionV relativeFrom="paragraph">
                      <wp:posOffset>-1019175</wp:posOffset>
                    </wp:positionV>
                    <wp:extent cx="5525770" cy="10153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770" cy="10153650"/>
                            </a:xfrm>
                            <a:prstGeom prst="rect">
                              <a:avLst/>
                            </a:prstGeom>
                            <a:solidFill>
                              <a:schemeClr val="accent1"/>
                            </a:solidFill>
                            <a:ln>
                              <a:noFill/>
                            </a:ln>
                            <a:extLst/>
                          </wps:spPr>
                          <wps:txbx>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5pt;margin-top:-80.25pt;width:435.1pt;height:79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" fillcolor="#5b9bd5 [3204]" stroked="f">
                    <v:path arrowok="t"/>
                    <v:textbox inset="21.6pt,1in,21.6pt">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v:textbox>
                    <w10:wrap anchorx="page"/>
                  </v:rect>
                </w:pict>
              </mc:Fallback>
            </mc:AlternateContent>
          </w:r>
        </w:p>
        <w:p w:rsidR="004C5957" w:rsidRDefault="004C5957"/>
        <w:p w:rsidR="004C5957" w:rsidRDefault="004C5957">
          <w:r>
            <w:br w:type="page"/>
          </w:r>
        </w:p>
      </w:sdtContent>
    </w:sdt>
    <w:p w:rsidR="004C5957" w:rsidRDefault="004C5957"/>
    <w:tbl>
      <w:tblPr>
        <w:tblpPr w:leftFromText="180" w:rightFromText="180" w:vertAnchor="page" w:horzAnchor="margin" w:tblpXSpec="center" w:tblpY="16"/>
        <w:tblW w:w="12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1"/>
      </w:tblGrid>
      <w:tr w:rsidR="004C5957" w:rsidTr="0031287B">
        <w:trPr>
          <w:trHeight w:val="1212"/>
        </w:trPr>
        <w:tc>
          <w:tcPr>
            <w:tcW w:w="12111" w:type="dxa"/>
            <w:shd w:val="clear" w:color="auto" w:fill="00B0F0"/>
          </w:tcPr>
          <w:p w:rsidR="004C5957" w:rsidRDefault="004C5957" w:rsidP="004C5957">
            <w:r>
              <w:rPr>
                <w:noProof/>
              </w:rPr>
              <w:t xml:space="preserve">          </w:t>
            </w:r>
            <w:r>
              <w:rPr>
                <w:noProof/>
              </w:rPr>
              <w:drawing>
                <wp:inline distT="0" distB="0" distL="0" distR="0" wp14:anchorId="69E041AB" wp14:editId="5B443920">
                  <wp:extent cx="2286000" cy="1028700"/>
                  <wp:effectExtent l="0" t="0" r="0" b="0"/>
                  <wp:docPr id="1" name="Picture 1"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37580118" wp14:editId="462EC3F2">
                  <wp:extent cx="4208145" cy="971550"/>
                  <wp:effectExtent l="0" t="0" r="1905" b="0"/>
                  <wp:docPr id="2" name="Picture 2"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tbl>
      <w:tblPr>
        <w:tblStyle w:val="TableGrid"/>
        <w:tblpPr w:leftFromText="180" w:rightFromText="180" w:vertAnchor="text" w:horzAnchor="page" w:tblpX="1006" w:tblpY="-65"/>
        <w:tblW w:w="10757" w:type="dxa"/>
        <w:shd w:val="clear" w:color="auto" w:fill="00B0F0"/>
        <w:tblLook w:val="04A0" w:firstRow="1" w:lastRow="0" w:firstColumn="1" w:lastColumn="0" w:noHBand="0" w:noVBand="1"/>
      </w:tblPr>
      <w:tblGrid>
        <w:gridCol w:w="10757"/>
      </w:tblGrid>
      <w:tr w:rsidR="0044608F" w:rsidTr="00113182">
        <w:trPr>
          <w:trHeight w:val="710"/>
        </w:trPr>
        <w:tc>
          <w:tcPr>
            <w:tcW w:w="10757" w:type="dxa"/>
            <w:shd w:val="clear" w:color="auto" w:fill="00B0F0"/>
          </w:tcPr>
          <w:p w:rsidR="0044608F" w:rsidRPr="00113182" w:rsidRDefault="00347B6F" w:rsidP="00FC2F4A">
            <w:pPr>
              <w:jc w:val="center"/>
              <w:rPr>
                <w:b/>
                <w:sz w:val="26"/>
                <w:szCs w:val="26"/>
              </w:rPr>
            </w:pPr>
            <w:r w:rsidRPr="00347B6F">
              <w:rPr>
                <w:b/>
                <w:sz w:val="26"/>
                <w:szCs w:val="26"/>
              </w:rPr>
              <w:t>UJJIVAN FINANCIAL SERVICES LTD</w:t>
            </w:r>
            <w:r w:rsidR="00113182" w:rsidRPr="00113182">
              <w:rPr>
                <w:b/>
                <w:sz w:val="26"/>
                <w:szCs w:val="26"/>
              </w:rPr>
              <w:br/>
            </w:r>
            <w:r w:rsidR="002436C8" w:rsidRPr="00113182">
              <w:rPr>
                <w:b/>
                <w:sz w:val="26"/>
                <w:szCs w:val="26"/>
              </w:rPr>
              <w:t>(</w:t>
            </w:r>
            <w:r>
              <w:t xml:space="preserve"> </w:t>
            </w:r>
            <w:r w:rsidRPr="00347B6F">
              <w:rPr>
                <w:b/>
                <w:sz w:val="26"/>
                <w:szCs w:val="26"/>
              </w:rPr>
              <w:t>NSE:UJJIVAN</w:t>
            </w:r>
            <w:r w:rsidR="002436C8" w:rsidRPr="00113182">
              <w:rPr>
                <w:b/>
                <w:sz w:val="26"/>
                <w:szCs w:val="26"/>
              </w:rPr>
              <w:t>)</w:t>
            </w:r>
            <w:r w:rsidR="001F07A0" w:rsidRPr="00113182">
              <w:rPr>
                <w:b/>
                <w:sz w:val="26"/>
                <w:szCs w:val="26"/>
              </w:rPr>
              <w:br/>
            </w:r>
          </w:p>
        </w:tc>
      </w:tr>
    </w:tbl>
    <w:tbl>
      <w:tblPr>
        <w:tblpPr w:leftFromText="180" w:rightFromText="180" w:vertAnchor="text" w:horzAnchor="page" w:tblpX="6331" w:tblpY="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000" w:firstRow="0" w:lastRow="0" w:firstColumn="0" w:lastColumn="0" w:noHBand="0" w:noVBand="0"/>
      </w:tblPr>
      <w:tblGrid>
        <w:gridCol w:w="1486"/>
        <w:gridCol w:w="1209"/>
        <w:gridCol w:w="1150"/>
      </w:tblGrid>
      <w:tr w:rsidR="008C0B37" w:rsidTr="008C0B37">
        <w:trPr>
          <w:trHeight w:val="118"/>
        </w:trPr>
        <w:tc>
          <w:tcPr>
            <w:tcW w:w="1486" w:type="dxa"/>
            <w:shd w:val="clear" w:color="auto" w:fill="00B0F0"/>
          </w:tcPr>
          <w:p w:rsidR="008C0B37" w:rsidRPr="00BA01AB" w:rsidRDefault="008C0B37" w:rsidP="008C0B37">
            <w:pPr>
              <w:jc w:val="center"/>
              <w:rPr>
                <w:b/>
              </w:rPr>
            </w:pPr>
            <w:r>
              <w:rPr>
                <w:b/>
              </w:rPr>
              <w:t>BUY</w:t>
            </w:r>
          </w:p>
        </w:tc>
        <w:tc>
          <w:tcPr>
            <w:tcW w:w="1209" w:type="dxa"/>
            <w:shd w:val="clear" w:color="auto" w:fill="00B0F0"/>
          </w:tcPr>
          <w:p w:rsidR="008C0B37" w:rsidRPr="00BA01AB" w:rsidRDefault="00D05665" w:rsidP="00113182">
            <w:pPr>
              <w:jc w:val="center"/>
              <w:rPr>
                <w:b/>
              </w:rPr>
            </w:pPr>
            <w:r>
              <w:rPr>
                <w:b/>
              </w:rPr>
              <w:t>380-381</w:t>
            </w:r>
            <w:r w:rsidR="0073074F">
              <w:rPr>
                <w:b/>
              </w:rPr>
              <w:t xml:space="preserve">   </w:t>
            </w:r>
          </w:p>
        </w:tc>
        <w:tc>
          <w:tcPr>
            <w:tcW w:w="1150" w:type="dxa"/>
            <w:shd w:val="clear" w:color="auto" w:fill="00B0F0"/>
          </w:tcPr>
          <w:p w:rsidR="008C0B37" w:rsidRPr="00BA01AB" w:rsidRDefault="008C0B37" w:rsidP="00D05665">
            <w:pPr>
              <w:jc w:val="center"/>
              <w:rPr>
                <w:b/>
              </w:rPr>
            </w:pPr>
            <w:r>
              <w:rPr>
                <w:b/>
              </w:rPr>
              <w:t>SL-</w:t>
            </w:r>
            <w:r w:rsidR="00D05665">
              <w:rPr>
                <w:b/>
              </w:rPr>
              <w:t>365</w:t>
            </w:r>
          </w:p>
        </w:tc>
      </w:tr>
      <w:tr w:rsidR="008C0B37" w:rsidTr="008C0B37">
        <w:trPr>
          <w:trHeight w:val="196"/>
        </w:trPr>
        <w:tc>
          <w:tcPr>
            <w:tcW w:w="1486" w:type="dxa"/>
            <w:shd w:val="clear" w:color="auto" w:fill="00B0F0"/>
          </w:tcPr>
          <w:p w:rsidR="008C0B37" w:rsidRPr="00BA01AB" w:rsidRDefault="008C0B37" w:rsidP="00D05665">
            <w:pPr>
              <w:jc w:val="center"/>
              <w:rPr>
                <w:b/>
              </w:rPr>
            </w:pPr>
            <w:r>
              <w:rPr>
                <w:b/>
              </w:rPr>
              <w:t xml:space="preserve">TGT 1- </w:t>
            </w:r>
            <w:r w:rsidR="00D05665">
              <w:rPr>
                <w:b/>
              </w:rPr>
              <w:t>395</w:t>
            </w:r>
          </w:p>
        </w:tc>
        <w:tc>
          <w:tcPr>
            <w:tcW w:w="1209" w:type="dxa"/>
            <w:shd w:val="clear" w:color="auto" w:fill="00B0F0"/>
          </w:tcPr>
          <w:p w:rsidR="008C0B37" w:rsidRPr="00BA01AB" w:rsidRDefault="008C0B37" w:rsidP="00D05665">
            <w:pPr>
              <w:jc w:val="center"/>
              <w:rPr>
                <w:b/>
              </w:rPr>
            </w:pPr>
            <w:r>
              <w:rPr>
                <w:b/>
              </w:rPr>
              <w:t xml:space="preserve">TGT 2- </w:t>
            </w:r>
            <w:r w:rsidR="00D05665">
              <w:rPr>
                <w:b/>
              </w:rPr>
              <w:t>415</w:t>
            </w:r>
          </w:p>
        </w:tc>
        <w:tc>
          <w:tcPr>
            <w:tcW w:w="1150" w:type="dxa"/>
            <w:shd w:val="clear" w:color="auto" w:fill="00B0F0"/>
          </w:tcPr>
          <w:p w:rsidR="008C0B37" w:rsidRPr="00BA01AB" w:rsidRDefault="008C0B37" w:rsidP="00FC2F4A">
            <w:pPr>
              <w:jc w:val="center"/>
              <w:rPr>
                <w:b/>
              </w:rPr>
            </w:pPr>
            <w:r>
              <w:rPr>
                <w:b/>
              </w:rPr>
              <w:t>SL-</w:t>
            </w:r>
            <w:r w:rsidR="00D05665">
              <w:rPr>
                <w:b/>
              </w:rPr>
              <w:t>365</w:t>
            </w:r>
          </w:p>
        </w:tc>
      </w:tr>
    </w:tbl>
    <w:p w:rsidR="00A33155" w:rsidRDefault="00A33155">
      <w:r>
        <w:br/>
      </w:r>
    </w:p>
    <w:tbl>
      <w:tblPr>
        <w:tblStyle w:val="TableGrid"/>
        <w:tblW w:w="0" w:type="auto"/>
        <w:shd w:val="clear" w:color="auto" w:fill="00B0F0"/>
        <w:tblLook w:val="04A0" w:firstRow="1" w:lastRow="0" w:firstColumn="1" w:lastColumn="0" w:noHBand="0" w:noVBand="1"/>
      </w:tblPr>
      <w:tblGrid>
        <w:gridCol w:w="729"/>
        <w:gridCol w:w="729"/>
        <w:gridCol w:w="729"/>
        <w:gridCol w:w="729"/>
        <w:gridCol w:w="729"/>
      </w:tblGrid>
      <w:tr w:rsidR="001F07A0" w:rsidTr="00BA01AB">
        <w:trPr>
          <w:trHeight w:val="383"/>
        </w:trPr>
        <w:tc>
          <w:tcPr>
            <w:tcW w:w="729" w:type="dxa"/>
            <w:shd w:val="clear" w:color="auto" w:fill="00B0F0"/>
          </w:tcPr>
          <w:p w:rsidR="001F07A0" w:rsidRPr="00BA01AB" w:rsidRDefault="009F06FE" w:rsidP="00BA01AB">
            <w:pPr>
              <w:jc w:val="center"/>
              <w:rPr>
                <w:b/>
              </w:rPr>
            </w:pPr>
            <w:r>
              <w:rPr>
                <w:b/>
              </w:rPr>
              <w:t>S2</w:t>
            </w:r>
          </w:p>
        </w:tc>
        <w:tc>
          <w:tcPr>
            <w:tcW w:w="729" w:type="dxa"/>
            <w:shd w:val="clear" w:color="auto" w:fill="00B0F0"/>
          </w:tcPr>
          <w:p w:rsidR="001F07A0" w:rsidRPr="00BA01AB" w:rsidRDefault="009F06FE" w:rsidP="00BA01AB">
            <w:pPr>
              <w:jc w:val="center"/>
              <w:rPr>
                <w:b/>
              </w:rPr>
            </w:pPr>
            <w:r>
              <w:rPr>
                <w:b/>
              </w:rPr>
              <w:t>S1</w:t>
            </w:r>
          </w:p>
        </w:tc>
        <w:tc>
          <w:tcPr>
            <w:tcW w:w="729" w:type="dxa"/>
            <w:shd w:val="clear" w:color="auto" w:fill="00B0F0"/>
          </w:tcPr>
          <w:p w:rsidR="001F07A0" w:rsidRPr="00BA01AB" w:rsidRDefault="001F07A0" w:rsidP="00BA01AB">
            <w:pPr>
              <w:jc w:val="center"/>
              <w:rPr>
                <w:b/>
              </w:rPr>
            </w:pPr>
            <w:r w:rsidRPr="00BA01AB">
              <w:rPr>
                <w:b/>
              </w:rPr>
              <w:t>PP</w:t>
            </w:r>
          </w:p>
        </w:tc>
        <w:tc>
          <w:tcPr>
            <w:tcW w:w="729" w:type="dxa"/>
            <w:shd w:val="clear" w:color="auto" w:fill="00B0F0"/>
          </w:tcPr>
          <w:p w:rsidR="001F07A0" w:rsidRPr="00BA01AB" w:rsidRDefault="001F07A0" w:rsidP="00BA01AB">
            <w:pPr>
              <w:jc w:val="center"/>
              <w:rPr>
                <w:b/>
              </w:rPr>
            </w:pPr>
            <w:r w:rsidRPr="00BA01AB">
              <w:rPr>
                <w:b/>
              </w:rPr>
              <w:t>R1</w:t>
            </w:r>
          </w:p>
        </w:tc>
        <w:tc>
          <w:tcPr>
            <w:tcW w:w="729" w:type="dxa"/>
            <w:shd w:val="clear" w:color="auto" w:fill="00B0F0"/>
          </w:tcPr>
          <w:p w:rsidR="001F07A0" w:rsidRPr="00BA01AB" w:rsidRDefault="001F07A0" w:rsidP="00BA01AB">
            <w:pPr>
              <w:jc w:val="center"/>
              <w:rPr>
                <w:b/>
              </w:rPr>
            </w:pPr>
            <w:r w:rsidRPr="00BA01AB">
              <w:rPr>
                <w:b/>
              </w:rPr>
              <w:t>R2</w:t>
            </w:r>
          </w:p>
        </w:tc>
      </w:tr>
      <w:tr w:rsidR="001F07A0" w:rsidTr="00BA01AB">
        <w:trPr>
          <w:trHeight w:val="362"/>
        </w:trPr>
        <w:tc>
          <w:tcPr>
            <w:tcW w:w="729" w:type="dxa"/>
            <w:shd w:val="clear" w:color="auto" w:fill="00B0F0"/>
          </w:tcPr>
          <w:p w:rsidR="001F07A0" w:rsidRPr="00BA01AB" w:rsidRDefault="00D05665" w:rsidP="00BA01AB">
            <w:pPr>
              <w:jc w:val="center"/>
              <w:rPr>
                <w:b/>
              </w:rPr>
            </w:pPr>
            <w:r>
              <w:rPr>
                <w:b/>
              </w:rPr>
              <w:t>320</w:t>
            </w:r>
          </w:p>
        </w:tc>
        <w:tc>
          <w:tcPr>
            <w:tcW w:w="729" w:type="dxa"/>
            <w:shd w:val="clear" w:color="auto" w:fill="00B0F0"/>
          </w:tcPr>
          <w:p w:rsidR="001F07A0" w:rsidRPr="00BA01AB" w:rsidRDefault="00D05665" w:rsidP="00BA01AB">
            <w:pPr>
              <w:jc w:val="center"/>
              <w:rPr>
                <w:b/>
              </w:rPr>
            </w:pPr>
            <w:r>
              <w:rPr>
                <w:b/>
              </w:rPr>
              <w:t>350</w:t>
            </w:r>
          </w:p>
        </w:tc>
        <w:tc>
          <w:tcPr>
            <w:tcW w:w="729" w:type="dxa"/>
            <w:shd w:val="clear" w:color="auto" w:fill="00B0F0"/>
          </w:tcPr>
          <w:p w:rsidR="001F07A0" w:rsidRPr="00BA01AB" w:rsidRDefault="00D05665" w:rsidP="00BA01AB">
            <w:pPr>
              <w:jc w:val="center"/>
              <w:rPr>
                <w:b/>
              </w:rPr>
            </w:pPr>
            <w:r>
              <w:rPr>
                <w:b/>
              </w:rPr>
              <w:t>375</w:t>
            </w:r>
          </w:p>
        </w:tc>
        <w:tc>
          <w:tcPr>
            <w:tcW w:w="729" w:type="dxa"/>
            <w:shd w:val="clear" w:color="auto" w:fill="00B0F0"/>
          </w:tcPr>
          <w:p w:rsidR="001F07A0" w:rsidRPr="00BA01AB" w:rsidRDefault="00D05665" w:rsidP="00BA01AB">
            <w:pPr>
              <w:jc w:val="center"/>
              <w:rPr>
                <w:b/>
              </w:rPr>
            </w:pPr>
            <w:r>
              <w:rPr>
                <w:b/>
              </w:rPr>
              <w:t>400</w:t>
            </w:r>
          </w:p>
        </w:tc>
        <w:tc>
          <w:tcPr>
            <w:tcW w:w="729" w:type="dxa"/>
            <w:shd w:val="clear" w:color="auto" w:fill="00B0F0"/>
          </w:tcPr>
          <w:p w:rsidR="001F07A0" w:rsidRPr="00BA01AB" w:rsidRDefault="00D05665" w:rsidP="00BA01AB">
            <w:pPr>
              <w:jc w:val="center"/>
              <w:rPr>
                <w:b/>
              </w:rPr>
            </w:pPr>
            <w:r>
              <w:rPr>
                <w:b/>
              </w:rPr>
              <w:t>435</w:t>
            </w:r>
          </w:p>
        </w:tc>
      </w:tr>
    </w:tbl>
    <w:p w:rsidR="001F07A0" w:rsidRDefault="00347B6F">
      <w:r>
        <w:rPr>
          <w:noProof/>
        </w:rPr>
        <w:drawing>
          <wp:inline distT="0" distB="0" distL="0" distR="0" wp14:anchorId="3F56C029" wp14:editId="2AD606D2">
            <wp:extent cx="5943600" cy="2162175"/>
            <wp:effectExtent l="95250" t="95250" r="9525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2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t xml:space="preserve"> </w:t>
      </w:r>
    </w:p>
    <w:p w:rsidR="00A33155" w:rsidRDefault="00A33155"/>
    <w:p w:rsidR="002436C8" w:rsidRPr="002436C8" w:rsidRDefault="00BA01AB" w:rsidP="002436C8">
      <w:pPr>
        <w:rPr>
          <w:b/>
        </w:rPr>
      </w:pPr>
      <w:r w:rsidRPr="002436C8">
        <w:rPr>
          <w:b/>
        </w:rPr>
        <w:t>DESCRIPTION</w:t>
      </w:r>
    </w:p>
    <w:p w:rsidR="0031287B" w:rsidRPr="0074604C" w:rsidRDefault="00347B6F" w:rsidP="00BA01AB">
      <w:proofErr w:type="spellStart"/>
      <w:r w:rsidRPr="00347B6F">
        <w:t>Ujjivan</w:t>
      </w:r>
      <w:proofErr w:type="spellEnd"/>
      <w:r w:rsidRPr="00347B6F">
        <w:t xml:space="preserve"> Financial Services Limited, formerly </w:t>
      </w:r>
      <w:proofErr w:type="spellStart"/>
      <w:r w:rsidRPr="00347B6F">
        <w:t>Ujjivan</w:t>
      </w:r>
      <w:proofErr w:type="spellEnd"/>
      <w:r w:rsidRPr="00347B6F">
        <w:t xml:space="preserve"> Financial Services Private Limited, is a non-banking finance company engaged in the micro finance lending business. </w:t>
      </w:r>
      <w:r>
        <w:br/>
      </w:r>
      <w:r w:rsidRPr="00347B6F">
        <w:t>The Company's products and services include Microfinance, Micro and Small Enterprise Business (MSE) Finance, Agriculture and Animal Husbandry Finance, and Housing Finance.</w:t>
      </w:r>
      <w:r>
        <w:br/>
      </w:r>
      <w:r w:rsidRPr="00347B6F">
        <w:t xml:space="preserve"> Its products are classified under two categories: Group Loans and Individual Loans. Its products are further sub-divided into agricultural, education, home improvement, </w:t>
      </w:r>
      <w:proofErr w:type="gramStart"/>
      <w:r w:rsidRPr="00347B6F">
        <w:t>home</w:t>
      </w:r>
      <w:proofErr w:type="gramEnd"/>
      <w:r w:rsidRPr="00347B6F">
        <w:t xml:space="preserve"> purchase and livestock loans. MSE and Housing loans are both secured and unsecured loan products, which are available for both existing and open market customers. </w:t>
      </w:r>
      <w:r>
        <w:br/>
      </w:r>
      <w:r w:rsidRPr="00347B6F">
        <w:t>It serves economically poor in urban and semi urban areas. Through its partnership with Bajaj Allianz Life Insurance Company, it offers life insurance to its customers and their spouses. It operates through approximately 470 branches spread over 20 states in approximately four regions: South, East, North and West.</w:t>
      </w:r>
    </w:p>
    <w:tbl>
      <w:tblPr>
        <w:tblStyle w:val="TableGrid"/>
        <w:tblpPr w:leftFromText="180" w:rightFromText="180" w:vertAnchor="page" w:horzAnchor="margin" w:tblpXSpec="center" w:tblpY="61"/>
        <w:tblW w:w="12180" w:type="dxa"/>
        <w:tblLook w:val="04A0" w:firstRow="1" w:lastRow="0" w:firstColumn="1" w:lastColumn="0" w:noHBand="0" w:noVBand="1"/>
      </w:tblPr>
      <w:tblGrid>
        <w:gridCol w:w="12180"/>
      </w:tblGrid>
      <w:tr w:rsidR="0031287B" w:rsidTr="00066414">
        <w:trPr>
          <w:trHeight w:val="1811"/>
        </w:trPr>
        <w:tc>
          <w:tcPr>
            <w:tcW w:w="12180" w:type="dxa"/>
            <w:shd w:val="clear" w:color="auto" w:fill="00B0F0"/>
          </w:tcPr>
          <w:p w:rsidR="0031287B" w:rsidRDefault="0031287B" w:rsidP="0031287B">
            <w:r>
              <w:rPr>
                <w:noProof/>
              </w:rPr>
              <w:lastRenderedPageBreak/>
              <w:drawing>
                <wp:inline distT="0" distB="0" distL="0" distR="0" wp14:anchorId="120559A9" wp14:editId="724D70A0">
                  <wp:extent cx="2286000" cy="1028700"/>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1FE6935D" wp14:editId="6BB021F0">
                  <wp:extent cx="4208145" cy="971550"/>
                  <wp:effectExtent l="0" t="0" r="1905" b="0"/>
                  <wp:docPr id="4" name="Picture 4"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p w:rsidR="0031287B" w:rsidRPr="002436C8" w:rsidRDefault="00BA01AB" w:rsidP="00BA01AB">
      <w:pPr>
        <w:rPr>
          <w:b/>
        </w:rPr>
      </w:pPr>
      <w:r>
        <w:lastRenderedPageBreak/>
        <w:br/>
      </w:r>
    </w:p>
    <w:p w:rsidR="0031287B" w:rsidRDefault="0031287B" w:rsidP="0031287B">
      <w:pPr>
        <w:rPr>
          <w:b/>
        </w:rPr>
      </w:pPr>
    </w:p>
    <w:p w:rsidR="004977B2" w:rsidRDefault="004977B2" w:rsidP="0031287B">
      <w:pPr>
        <w:rPr>
          <w:b/>
        </w:rPr>
      </w:pPr>
    </w:p>
    <w:p w:rsidR="0031287B" w:rsidRDefault="0031287B" w:rsidP="0031287B">
      <w:pPr>
        <w:rPr>
          <w:b/>
        </w:rPr>
      </w:pPr>
      <w:r>
        <w:rPr>
          <w:b/>
        </w:rPr>
        <w:t>TECHNICAL VIEW</w:t>
      </w:r>
    </w:p>
    <w:p w:rsidR="0031287B" w:rsidRDefault="00147867" w:rsidP="0031287B">
      <w:pPr>
        <w:pStyle w:val="ListParagraph"/>
        <w:numPr>
          <w:ilvl w:val="0"/>
          <w:numId w:val="1"/>
        </w:numPr>
      </w:pPr>
      <w:r>
        <w:t xml:space="preserve">In daily candle </w:t>
      </w:r>
      <w:r w:rsidR="00347B6F">
        <w:t>UJJIVAN</w:t>
      </w:r>
      <w:r w:rsidR="00366C82">
        <w:t xml:space="preserve"> </w:t>
      </w:r>
      <w:r>
        <w:t xml:space="preserve">was looking strong, it was taking support of its </w:t>
      </w:r>
      <w:r w:rsidR="00FC2F4A">
        <w:t>200</w:t>
      </w:r>
      <w:r>
        <w:t xml:space="preserve"> day’s EMA and looking </w:t>
      </w:r>
      <w:r w:rsidR="00FC2F4A">
        <w:t>reversal</w:t>
      </w:r>
      <w:r>
        <w:t>.</w:t>
      </w:r>
    </w:p>
    <w:p w:rsidR="0031287B" w:rsidRDefault="00366C82" w:rsidP="0031287B">
      <w:pPr>
        <w:pStyle w:val="ListParagraph"/>
        <w:numPr>
          <w:ilvl w:val="0"/>
          <w:numId w:val="1"/>
        </w:numPr>
      </w:pPr>
      <w:r>
        <w:t xml:space="preserve">From the opening it was </w:t>
      </w:r>
      <w:r w:rsidR="0073074F">
        <w:t xml:space="preserve">falling down </w:t>
      </w:r>
      <w:r w:rsidR="00147867">
        <w:t xml:space="preserve">but </w:t>
      </w:r>
      <w:r w:rsidR="0073074F">
        <w:t xml:space="preserve">near closing </w:t>
      </w:r>
      <w:r w:rsidR="00FC2F4A">
        <w:t>continuous fresh buying</w:t>
      </w:r>
      <w:r w:rsidR="00147867">
        <w:t xml:space="preserve"> it took support of its short term moving av</w:t>
      </w:r>
      <w:r w:rsidR="000C211A">
        <w:t>era</w:t>
      </w:r>
      <w:r w:rsidR="00147867">
        <w:t>g</w:t>
      </w:r>
      <w:r w:rsidR="000C211A">
        <w:t>e</w:t>
      </w:r>
      <w:r w:rsidR="00147867">
        <w:t xml:space="preserve"> and I saw fresh buying near closing.</w:t>
      </w:r>
    </w:p>
    <w:p w:rsidR="00347B6F" w:rsidRDefault="00366C82" w:rsidP="00347B6F">
      <w:pPr>
        <w:pStyle w:val="ListParagraph"/>
        <w:numPr>
          <w:ilvl w:val="0"/>
          <w:numId w:val="1"/>
        </w:numPr>
      </w:pPr>
      <w:r>
        <w:t>In short term its str</w:t>
      </w:r>
      <w:r w:rsidR="00347B6F">
        <w:t>ucture was also looking bullish and taking support of its 14 day’s EMA also.</w:t>
      </w:r>
    </w:p>
    <w:p w:rsidR="00804D62" w:rsidRDefault="0053061B" w:rsidP="0031287B">
      <w:pPr>
        <w:pStyle w:val="ListParagraph"/>
        <w:numPr>
          <w:ilvl w:val="0"/>
          <w:numId w:val="1"/>
        </w:numPr>
      </w:pPr>
      <w:r>
        <w:t xml:space="preserve">In daily candle </w:t>
      </w:r>
      <w:r w:rsidR="00347B6F">
        <w:t xml:space="preserve">made </w:t>
      </w:r>
      <w:r w:rsidR="00FC2F4A">
        <w:t>bullish hammer and tend to reversal</w:t>
      </w:r>
      <w:r w:rsidR="0009194C">
        <w:t>, next trading it can be gap up opening.</w:t>
      </w:r>
    </w:p>
    <w:p w:rsidR="00366C82" w:rsidRDefault="00366C82" w:rsidP="0031287B">
      <w:pPr>
        <w:pStyle w:val="ListParagraph"/>
        <w:numPr>
          <w:ilvl w:val="0"/>
          <w:numId w:val="1"/>
        </w:numPr>
      </w:pPr>
      <w:r>
        <w:t xml:space="preserve">Above its moving </w:t>
      </w:r>
      <w:proofErr w:type="spellStart"/>
      <w:r>
        <w:t>avg</w:t>
      </w:r>
      <w:proofErr w:type="spellEnd"/>
      <w:r>
        <w:t xml:space="preserve"> it made a bullish candle in daily candle stick chart pattern.</w:t>
      </w:r>
    </w:p>
    <w:p w:rsidR="00366C82" w:rsidRDefault="00366C82" w:rsidP="0031287B">
      <w:pPr>
        <w:pStyle w:val="ListParagraph"/>
        <w:numPr>
          <w:ilvl w:val="0"/>
          <w:numId w:val="1"/>
        </w:numPr>
      </w:pPr>
      <w:r>
        <w:t>Its</w:t>
      </w:r>
      <w:r w:rsidR="001576E5">
        <w:t xml:space="preserve"> daily </w:t>
      </w:r>
      <w:r w:rsidR="0073074F">
        <w:t>candle</w:t>
      </w:r>
      <w:r w:rsidR="00347B6F">
        <w:t xml:space="preserve"> it was making bearish candle and today</w:t>
      </w:r>
      <w:r w:rsidR="0073074F">
        <w:t xml:space="preserve"> </w:t>
      </w:r>
      <w:r w:rsidR="00FC2F4A">
        <w:t xml:space="preserve">I saw </w:t>
      </w:r>
      <w:r w:rsidR="0073074F">
        <w:t xml:space="preserve">it made </w:t>
      </w:r>
      <w:r w:rsidR="00347B6F">
        <w:t>bullish candle and from the bottom I fresh buying</w:t>
      </w:r>
      <w:r w:rsidR="00FC2F4A">
        <w:t xml:space="preserve"> also</w:t>
      </w:r>
      <w:r w:rsidR="001576E5">
        <w:t>.</w:t>
      </w:r>
    </w:p>
    <w:p w:rsidR="00804D62" w:rsidRPr="00804D62" w:rsidRDefault="00804D62" w:rsidP="00804D62">
      <w:pPr>
        <w:rPr>
          <w:b/>
        </w:rPr>
      </w:pPr>
      <w:r w:rsidRPr="00804D62">
        <w:rPr>
          <w:b/>
        </w:rPr>
        <w:t>RECENT NEWS</w:t>
      </w:r>
    </w:p>
    <w:p w:rsidR="00110907" w:rsidRDefault="00DE4D77" w:rsidP="00DE4D77">
      <w:pPr>
        <w:pStyle w:val="ListParagraph"/>
        <w:numPr>
          <w:ilvl w:val="0"/>
          <w:numId w:val="1"/>
        </w:numPr>
      </w:pPr>
      <w:r w:rsidRPr="00DE4D77">
        <w:t xml:space="preserve">Shares of </w:t>
      </w:r>
      <w:proofErr w:type="spellStart"/>
      <w:r w:rsidRPr="00DE4D77">
        <w:t>Ujjivan</w:t>
      </w:r>
      <w:proofErr w:type="spellEnd"/>
      <w:r w:rsidRPr="00DE4D77">
        <w:t xml:space="preserve"> Financial Services Limited (UJJIVAN.NS) touched a high of 390.35 and dipped down to a low of 380.50 before settling at 382.40 in the most recent session. </w:t>
      </w:r>
      <w:r>
        <w:br/>
      </w:r>
      <w:r w:rsidRPr="00DE4D77">
        <w:t xml:space="preserve">The stock has experienced bearish momentum as </w:t>
      </w:r>
      <w:proofErr w:type="gramStart"/>
      <w:r w:rsidRPr="00DE4D77">
        <w:t>it’s</w:t>
      </w:r>
      <w:proofErr w:type="gramEnd"/>
      <w:r w:rsidRPr="00DE4D77">
        <w:t xml:space="preserve"> ATR or Average True Range has dipped consistently over the past 10 sessions.</w:t>
      </w:r>
    </w:p>
    <w:p w:rsidR="00DE4D77" w:rsidRDefault="00DE4D77" w:rsidP="00DE4D77">
      <w:pPr>
        <w:pStyle w:val="ListParagraph"/>
        <w:numPr>
          <w:ilvl w:val="0"/>
          <w:numId w:val="1"/>
        </w:numPr>
      </w:pPr>
      <w:r w:rsidRPr="00DE4D77">
        <w:t xml:space="preserve">Currently, the 14-day ADX for </w:t>
      </w:r>
      <w:proofErr w:type="spellStart"/>
      <w:r w:rsidRPr="00DE4D77">
        <w:t>Ujjivan</w:t>
      </w:r>
      <w:proofErr w:type="spellEnd"/>
      <w:r w:rsidRPr="00DE4D77">
        <w:t xml:space="preserve"> Financial Services Limited (UJJIVAN.NS) is sitting at 13.84. Generally speaking, an ADX value from 0-25 would indicate an absent or weak trend. </w:t>
      </w:r>
      <w:r>
        <w:br/>
      </w:r>
      <w:r w:rsidRPr="00DE4D77">
        <w:t>A value of 25-50 would support a strong trend. A value of 50-75 would identify a very strong trend, and a value of 75-100 would lead to an extremely strong trend.</w:t>
      </w:r>
      <w:r>
        <w:br/>
      </w:r>
      <w:r w:rsidRPr="00DE4D77">
        <w:t xml:space="preserve">ADX is used to gauge trend strength but not trend direction. </w:t>
      </w:r>
      <w:r>
        <w:br/>
      </w:r>
      <w:r w:rsidRPr="00DE4D77">
        <w:t>Traders often add the Plus Directional Indicator (+DI) and Minus Directional Indicator (-DI) to identify the direction of a trend.</w:t>
      </w:r>
    </w:p>
    <w:p w:rsidR="00DE4D77" w:rsidRPr="00DE4D77" w:rsidRDefault="00DE4D77" w:rsidP="00DE4D77">
      <w:pPr>
        <w:pStyle w:val="ListParagraph"/>
        <w:numPr>
          <w:ilvl w:val="0"/>
          <w:numId w:val="1"/>
        </w:numPr>
      </w:pPr>
      <w:r w:rsidRPr="00DE4D77">
        <w:t xml:space="preserve">Investors may be watching other technical indicators such as the Williams Percent Range or </w:t>
      </w:r>
      <w:proofErr w:type="gramStart"/>
      <w:r w:rsidRPr="00DE4D77">
        <w:t>Williams</w:t>
      </w:r>
      <w:proofErr w:type="gramEnd"/>
      <w:r w:rsidRPr="00DE4D77">
        <w:t xml:space="preserve"> %R. </w:t>
      </w:r>
      <w:r w:rsidR="00D05665">
        <w:br/>
      </w:r>
      <w:r w:rsidRPr="00DE4D77">
        <w:t xml:space="preserve">The Williams %R is a momentum indicator that helps measure oversold and overbought levels. </w:t>
      </w:r>
      <w:r>
        <w:br/>
      </w:r>
      <w:r w:rsidRPr="00DE4D77">
        <w:t>This indicator compares the closing price of a stock in relation to the highs and lows over a certain time period. A common look back period is 14 days.</w:t>
      </w:r>
      <w:r>
        <w:br/>
      </w:r>
      <w:r w:rsidRPr="00DE4D77">
        <w:t xml:space="preserve"> </w:t>
      </w:r>
      <w:proofErr w:type="spellStart"/>
      <w:r w:rsidRPr="00DE4D77">
        <w:t>Ujjivan</w:t>
      </w:r>
      <w:proofErr w:type="spellEnd"/>
      <w:r w:rsidRPr="00DE4D77">
        <w:t xml:space="preserve"> Financial Services Limited (UJJIVAN.NS)’s Williams %R presently stands at -95.49. The Williams %R oscillates in a range from 0 to -100. A reading between 0 and -20 would indicate an overbought situation. A reading from -80 to -100 would indicate an oversold situation.</w:t>
      </w:r>
    </w:p>
    <w:p w:rsidR="00DE4D77" w:rsidRDefault="00DE4D77" w:rsidP="00DE4D77"/>
    <w:p w:rsidR="0044608F" w:rsidRDefault="0044608F" w:rsidP="0044608F">
      <w:pPr>
        <w:pStyle w:val="Heading2"/>
        <w:pBdr>
          <w:bottom w:val="single" w:sz="6" w:space="0" w:color="DADADA"/>
        </w:pBdr>
        <w:shd w:val="clear" w:color="auto" w:fill="FFFFFF"/>
        <w:spacing w:before="0"/>
        <w:rPr>
          <w:rFonts w:ascii="Arial" w:hAnsi="Arial" w:cs="Arial"/>
          <w:b/>
          <w:bCs/>
          <w:color w:val="0F0F0F"/>
        </w:rPr>
      </w:pPr>
      <w:r>
        <w:rPr>
          <w:rFonts w:ascii="Arial" w:hAnsi="Arial" w:cs="Arial"/>
          <w:b/>
          <w:bCs/>
          <w:color w:val="0F0F0F"/>
        </w:rPr>
        <w:lastRenderedPageBreak/>
        <w:t>DISCLOSURE</w:t>
      </w:r>
    </w:p>
    <w:p w:rsidR="0044608F" w:rsidRPr="004D2356" w:rsidRDefault="0044608F" w:rsidP="0044608F"/>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5066EA" w:rsidRPr="000C211A" w:rsidRDefault="004D2356" w:rsidP="0031287B">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sectPr w:rsidR="005066EA" w:rsidRPr="000C211A" w:rsidSect="004C595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C18" w:rsidRDefault="001E3C18" w:rsidP="00047A83">
      <w:pPr>
        <w:spacing w:after="0" w:line="240" w:lineRule="auto"/>
      </w:pPr>
      <w:r>
        <w:separator/>
      </w:r>
    </w:p>
  </w:endnote>
  <w:endnote w:type="continuationSeparator" w:id="0">
    <w:p w:rsidR="001E3C18" w:rsidRDefault="001E3C18" w:rsidP="0004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232E7D" w:rsidRDefault="00232E7D">
    <w:pPr>
      <w:pStyle w:val="Footer"/>
    </w:pPr>
    <w:r w:rsidRPr="00232E7D">
      <w:t xml:space="preserve">Copyright © 2018 Research </w:t>
    </w:r>
    <w:proofErr w:type="spellStart"/>
    <w:r w:rsidRPr="00232E7D">
      <w:t>Infotech</w:t>
    </w:r>
    <w:proofErr w:type="spellEnd"/>
    <w:r w:rsidRPr="00232E7D">
      <w:t xml:space="preserve">. </w:t>
    </w:r>
    <w:proofErr w:type="gramStart"/>
    <w:r w:rsidRPr="00232E7D">
      <w:t>all</w:t>
    </w:r>
    <w:proofErr w:type="gramEnd"/>
    <w:r w:rsidRPr="00232E7D">
      <w:t xml:space="preserve"> rights reserved. | SEBI REGISTRATION NO: INA000003726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C18" w:rsidRDefault="001E3C18" w:rsidP="00047A83">
      <w:pPr>
        <w:spacing w:after="0" w:line="240" w:lineRule="auto"/>
      </w:pPr>
      <w:r>
        <w:separator/>
      </w:r>
    </w:p>
  </w:footnote>
  <w:footnote w:type="continuationSeparator" w:id="0">
    <w:p w:rsidR="001E3C18" w:rsidRDefault="001E3C18" w:rsidP="00047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E5329"/>
    <w:multiLevelType w:val="hybridMultilevel"/>
    <w:tmpl w:val="0504B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83"/>
    <w:rsid w:val="00047A83"/>
    <w:rsid w:val="00066414"/>
    <w:rsid w:val="0009194C"/>
    <w:rsid w:val="000C211A"/>
    <w:rsid w:val="000F4F99"/>
    <w:rsid w:val="00110907"/>
    <w:rsid w:val="00113182"/>
    <w:rsid w:val="00147867"/>
    <w:rsid w:val="001576E5"/>
    <w:rsid w:val="001E3C18"/>
    <w:rsid w:val="001F07A0"/>
    <w:rsid w:val="00232E7D"/>
    <w:rsid w:val="002436C8"/>
    <w:rsid w:val="00293D98"/>
    <w:rsid w:val="002B06AF"/>
    <w:rsid w:val="0031287B"/>
    <w:rsid w:val="00320C36"/>
    <w:rsid w:val="00347B6F"/>
    <w:rsid w:val="00366C82"/>
    <w:rsid w:val="00383530"/>
    <w:rsid w:val="00390C40"/>
    <w:rsid w:val="0044608F"/>
    <w:rsid w:val="004977B2"/>
    <w:rsid w:val="004C5957"/>
    <w:rsid w:val="004D2356"/>
    <w:rsid w:val="005066EA"/>
    <w:rsid w:val="0053061B"/>
    <w:rsid w:val="005D1B97"/>
    <w:rsid w:val="006D3653"/>
    <w:rsid w:val="00712DCA"/>
    <w:rsid w:val="0073074F"/>
    <w:rsid w:val="0074604C"/>
    <w:rsid w:val="007826D1"/>
    <w:rsid w:val="007E3EDF"/>
    <w:rsid w:val="00804D62"/>
    <w:rsid w:val="008C0B37"/>
    <w:rsid w:val="00940F28"/>
    <w:rsid w:val="0097620D"/>
    <w:rsid w:val="009F06FE"/>
    <w:rsid w:val="00A2027D"/>
    <w:rsid w:val="00A33155"/>
    <w:rsid w:val="00B756B1"/>
    <w:rsid w:val="00B85122"/>
    <w:rsid w:val="00BA01AB"/>
    <w:rsid w:val="00BB2475"/>
    <w:rsid w:val="00BB5902"/>
    <w:rsid w:val="00C029CA"/>
    <w:rsid w:val="00C040DF"/>
    <w:rsid w:val="00C52C49"/>
    <w:rsid w:val="00C80B87"/>
    <w:rsid w:val="00CF4818"/>
    <w:rsid w:val="00CF7C05"/>
    <w:rsid w:val="00D05665"/>
    <w:rsid w:val="00D1679B"/>
    <w:rsid w:val="00DE4D77"/>
    <w:rsid w:val="00E01AD6"/>
    <w:rsid w:val="00E352BC"/>
    <w:rsid w:val="00EB3B18"/>
    <w:rsid w:val="00F671D3"/>
    <w:rsid w:val="00F73F5B"/>
    <w:rsid w:val="00FC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92EB3-15E4-4C25-9181-7FADC86A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83"/>
  </w:style>
  <w:style w:type="paragraph" w:styleId="Footer">
    <w:name w:val="footer"/>
    <w:basedOn w:val="Normal"/>
    <w:link w:val="FooterChar"/>
    <w:uiPriority w:val="99"/>
    <w:unhideWhenUsed/>
    <w:rsid w:val="0004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83"/>
  </w:style>
  <w:style w:type="character" w:styleId="Hyperlink">
    <w:name w:val="Hyperlink"/>
    <w:basedOn w:val="DefaultParagraphFont"/>
    <w:uiPriority w:val="99"/>
    <w:semiHidden/>
    <w:unhideWhenUsed/>
    <w:rsid w:val="004C5957"/>
    <w:rPr>
      <w:color w:val="0000FF"/>
      <w:u w:val="single"/>
    </w:rPr>
  </w:style>
  <w:style w:type="paragraph" w:styleId="Title">
    <w:name w:val="Title"/>
    <w:basedOn w:val="Normal"/>
    <w:next w:val="Normal"/>
    <w:link w:val="TitleChar"/>
    <w:uiPriority w:val="10"/>
    <w:qFormat/>
    <w:rsid w:val="004C595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C595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C595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C5957"/>
    <w:rPr>
      <w:rFonts w:eastAsiaTheme="minorEastAsia" w:cs="Times New Roman"/>
      <w:color w:val="5A5A5A" w:themeColor="text1" w:themeTint="A5"/>
      <w:spacing w:val="15"/>
    </w:rPr>
  </w:style>
  <w:style w:type="paragraph" w:styleId="NoSpacing">
    <w:name w:val="No Spacing"/>
    <w:uiPriority w:val="1"/>
    <w:qFormat/>
    <w:rsid w:val="00A33155"/>
    <w:pPr>
      <w:spacing w:after="0" w:line="240" w:lineRule="auto"/>
    </w:pPr>
  </w:style>
  <w:style w:type="character" w:customStyle="1" w:styleId="Heading1Char">
    <w:name w:val="Heading 1 Char"/>
    <w:basedOn w:val="DefaultParagraphFont"/>
    <w:link w:val="Heading1"/>
    <w:uiPriority w:val="9"/>
    <w:rsid w:val="00A33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1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6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6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66271">
      <w:bodyDiv w:val="1"/>
      <w:marLeft w:val="0"/>
      <w:marRight w:val="0"/>
      <w:marTop w:val="0"/>
      <w:marBottom w:val="0"/>
      <w:divBdr>
        <w:top w:val="none" w:sz="0" w:space="0" w:color="auto"/>
        <w:left w:val="none" w:sz="0" w:space="0" w:color="auto"/>
        <w:bottom w:val="none" w:sz="0" w:space="0" w:color="auto"/>
        <w:right w:val="none" w:sz="0" w:space="0" w:color="auto"/>
      </w:divBdr>
      <w:divsChild>
        <w:div w:id="183730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DAILY ANALYSIS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RESEARCH INFOTECH</vt:lpstr>
    </vt:vector>
  </TitlesOfParts>
  <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INFOTECH</dc:title>
  <dc:subject>02-02-2018</dc:subject>
  <dc:creator>Deepak Raj Pal</dc:creator>
  <cp:keywords/>
  <dc:description/>
  <cp:lastModifiedBy>Deepak Raj Pal</cp:lastModifiedBy>
  <cp:revision>38</cp:revision>
  <dcterms:created xsi:type="dcterms:W3CDTF">2018-01-15T15:05:00Z</dcterms:created>
  <dcterms:modified xsi:type="dcterms:W3CDTF">2018-02-01T17:28:00Z</dcterms:modified>
</cp:coreProperties>
</file>