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1F379C" w:rsidRDefault="007D47C7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1F379C" w:rsidRDefault="007D47C7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1F379C" w:rsidRDefault="007D47C7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1F379C" w:rsidRDefault="007D47C7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1F379C" w:rsidRDefault="007D47C7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1F379C" w:rsidRDefault="007D47C7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1F379C" w:rsidRDefault="007D47C7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1F379C" w:rsidRDefault="007D47C7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1F379C" w:rsidRDefault="007D47C7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1F379C" w:rsidRDefault="007D47C7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1F379C" w:rsidRDefault="007D47C7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1F379C" w:rsidRDefault="007D47C7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/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1F379C" w:rsidRDefault="007D47C7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1F379C" w:rsidRDefault="007D47C7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1F379C" w:rsidRDefault="007D47C7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1F379C" w:rsidRDefault="007D47C7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1F379C" w:rsidRDefault="007D47C7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1F379C" w:rsidRDefault="007D47C7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1F379C"/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该方法返回的代理实例实现了我们参数中指定的所有接口。该代理实例身上的所有方法，被调用触发时候，都将经过代理逻辑（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b"/>
        <w:tblW w:w="68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1F379C">
        <w:tc>
          <w:tcPr>
            <w:tcW w:w="6804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A parameter handler sets the parameters of the PreparedStatement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.</w:t>
      </w:r>
    </w:p>
    <w:p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关键方法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etParameters(PreparedStatement ps);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关于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typeHandler.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语句的参数的方式为：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ps.setInt 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接口，实现运行时多态，且有效避免了多种不同关于类型判断的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>
            <wp:extent cx="1793875" cy="3070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68120" cy="3070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batis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的构造方法，但在第二个参数（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说一说P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枚举类（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上网了解之后，这三种在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类和S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线程池，重写线程工厂，设置产出的线程为守护线程。</w:t>
      </w: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类的前后版本对比中，可以明显看出当前当前版本的代码简洁了很多。</w:t>
      </w: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eastAsia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1.3.10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自定义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select 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结果集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，优化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page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2016/8/13 0:41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自定义select结果集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这个小节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框架辅助支持注入用户自定义查询字段的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原本一直是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全表字段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表名称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现在想要的效果就是，如果我只想查询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接口，只保留一个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tbl>
      <w:tblPr>
        <w:tblStyle w:val="ab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1F379C">
        <w:tc>
          <w:tcPr>
            <w:tcW w:w="6946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List&lt;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selectList(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entity,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 xml:space="preserve"> String 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orderByField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selectPage(Page&lt;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entity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方法中，参数看不到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，框架并不是移除了这个参数，只是将他移动到了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关键部分代码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 /otherwise&gt;&lt;/choose&gt;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lastRenderedPageBreak/>
        <w:drawing>
          <wp:inline distT="0" distB="0" distL="0" distR="0">
            <wp:extent cx="3779520" cy="397256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这个方法是通过判断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所有调用这个方法的地方，除了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传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值之外，其他均传了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值。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也就是说，自定义查询字段的功能用在了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方法上。映射到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中，则是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方法都能使用这样的功能。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忽略了这边字符串内字段信息的同步，项目便产生了潜在的错误，然后不知某时，程序运行在经过某串代码的时候被触发出来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下面是关于这个功能的测试代码：</w:t>
      </w:r>
    </w:p>
    <w:tbl>
      <w:tblPr>
        <w:tblStyle w:val="ab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1F379C">
        <w:tc>
          <w:tcPr>
            <w:tcW w:w="8414" w:type="dxa"/>
          </w:tcPr>
          <w:p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System.</w:t>
            </w:r>
            <w:r>
              <w:rPr>
                <w:rFonts w:ascii="Helvetica" w:eastAsia="宋体" w:hAnsi="Helvetica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.println(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分页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pagination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---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查询页中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testType = 1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的所有数据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----------------------"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Page&lt;User&gt; page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Page&lt;&gt;(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2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排序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test_id desc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page.setOrderByField(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page.setAsc(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ew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User(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查询条件，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片段（注意！程序会自动在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sqlSegment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内容前面添加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where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或者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and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）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List&lt;User&gt; paginList = userMapper.selectPage(page, ew);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paginList.forEach(UserMapperTest::</w:t>
            </w:r>
            <w:r>
              <w:rPr>
                <w:rFonts w:ascii="Helvetica" w:eastAsia="宋体" w:hAnsi="Helvetica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lastRenderedPageBreak/>
        <w:t>说说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Conti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P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erf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工具</w:t>
      </w:r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参考文章：</w:t>
      </w:r>
      <w:hyperlink r:id="rId32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https://blog.csdn.net/tomato__/article/details/22060449</w:t>
        </w:r>
      </w:hyperlink>
    </w:p>
    <w:p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ContiPerf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是一个轻量级的测试工具，基于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JUnit 4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开发，可用于效率测试等。</w:t>
      </w:r>
    </w:p>
    <w:p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2019年8月13日星期二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0fd38ce118c014a1a3b8dd509f79e1258555a5cf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1.4.1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2016/8/20 0:33 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虽然以前自己写过单元测试，而且还写过不少，自己也觉得满意，但是我做单元测试的目的更多的是测试已经存在的一段代码。</w:t>
      </w: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在这次的版本中，第一次感觉我是在接触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TDD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测试驱动开发思想。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按照本次版本的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EntityWrapperTest.java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我明白了有一种方式，可以先编写自己期望的功能使用代码，并编写自己预期该功能的正确运行结果，最终按照测试代码来驱动自己核心功能代码的开发。这种方式最终能够决定到的细节程度十分精确，举个例子就明白了，可以做到一个必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实际未使用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的检测。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跟着框架开发路线走，开开脑洞，这就是我目前想要的。</w:t>
      </w:r>
    </w:p>
    <w:p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1F379C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我的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1.4.1 | EntityWrapper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类增加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 addFilter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.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方法内部使用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MessageFormat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类替换指定变量，形成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语句中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条件部分</w:t>
      </w:r>
      <w:r w:rsid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4E3952" w:rsidRPr="004E3952" w:rsidRDefault="004E3952" w:rsidP="004E3952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4E3952"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2019年8月15日星期四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6629afb7868b65912e0f3ef08f41f05904fd1f8c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yanghu pull reuqest T-SQL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16:25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再次从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类测试方法中，发现前面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taste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的代码错误，纠正了了方向。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这个版本中存在一个问题，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类的方法存在交叉的调用歧义，将在下一次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中得到解决。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歧义点是：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keyWord, String filter, Object … params) {}</w:t>
      </w:r>
    </w:p>
    <w:p w:rsidR="004E3952" w:rsidRP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filter, Object … params) {}</w:t>
      </w:r>
    </w:p>
    <w:p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上面两个方法声明中，方法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的使用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会产生调用歧义，在运行时违背了我们的期望，实际是方法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被调用了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:rsidR="007D47C7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0108]</w:t>
      </w: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e447b0e440e978a4eb94aab182ee1fca2d555e0c</w:t>
      </w: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调整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不能交叉使用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tsql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21:25</w:t>
      </w: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这里解决了上面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add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Filter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交叉使用的问题，它是通过将方法提取到父类中完成的，怪神奇的，没想到什么可以解释这个歪理。</w:t>
      </w: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[1812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]</w:t>
      </w: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a5003068ce011b887565051964c44a47b3498aa0</w:t>
      </w: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:</w:t>
      </w: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、修改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TSQL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语句构建逻辑。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、添加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LIKE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NOT_LIKE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IS_NULL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IS_NOT_NULL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常用方法。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3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addFilter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及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addFilterIfNeed 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可以使用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and()  andIf() 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方法直接替代，语义看起来更明确。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yanghu 2016/8/23 19:41</w:t>
      </w: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非常有难度，心不静，看代码则不行。看着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新文件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M</w:t>
      </w:r>
      <w:r w:rsidRP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ybatisTSQLPlus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类的代码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，恍若天书。一开始可以理解，这次的变动基本将所有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sql conditon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都先放入集合中，然后在需要获取的地方进行统一拼接，返回最后符合用户想要的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查询部分。后来看着作者组装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代码的方法时候，看的不是很明白，有些受打击。后面，通过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类的测试方法，对这个过程进行了调试，最终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基本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搞明白了这个拼接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过程的实现。</w:t>
      </w:r>
    </w:p>
    <w:p w:rsidR="006E0625" w:rsidRPr="00A15D83" w:rsidRDefault="006E062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</w:p>
    <w:p w:rsidR="00D41A9C" w:rsidRDefault="00D41A9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一系列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语义的方法。先看一张截图，从截图中可以看到该类中一系列的方法，从框架上注释来看这是与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t-sql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语义相关。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如调用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r(“status={0}”, 1)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将对应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”OR status=1”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字符串。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方法中参数部分是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本次查询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语句中的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组成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部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分。如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474CD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conditions : status=1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columns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 w:rsidR="00474CD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id, is_deleted,gmt_created 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等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这些参数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在方法中不会被直接拼接成结果字符串，而是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先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存放到与语义对应的集合中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，之后可以通过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build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方法完成这些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差选条件部分的组装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。这些集合对象是内部类的成员。</w:t>
      </w:r>
    </w:p>
    <w:p w:rsidR="00D41A9C" w:rsidRDefault="00D41A9C" w:rsidP="00A15D83">
      <w:pPr>
        <w:pStyle w:val="HTML"/>
        <w:widowControl/>
        <w:shd w:val="clear" w:color="auto" w:fill="FCFEFF"/>
        <w:jc w:val="center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313F9828" wp14:editId="1E8B0CEE">
            <wp:extent cx="2126790" cy="2927350"/>
            <wp:effectExtent l="0" t="0" r="698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9996" cy="29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</w:p>
    <w:p w:rsidR="0038663A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  <w:r w:rsidRPr="0038663A">
        <w:rPr>
          <w:rFonts w:ascii="Microsoft JhengHei UI" w:eastAsiaTheme="minorEastAsia" w:hAnsi="Microsoft JhengHei UI" w:cs="Microsoft JhengHei UI"/>
          <w:b/>
          <w:color w:val="FFFFFF" w:themeColor="background1"/>
          <w:kern w:val="2"/>
          <w:sz w:val="13"/>
          <w:szCs w:val="13"/>
          <w:shd w:val="clear" w:color="auto" w:fill="C00000"/>
        </w:rPr>
        <w:t>SQL</w:t>
      </w:r>
      <w:r w:rsidRPr="0038663A">
        <w:rPr>
          <w:rFonts w:ascii="Microsoft JhengHei UI" w:eastAsiaTheme="minorEastAsia" w:hAnsi="Microsoft JhengHei UI" w:cs="Microsoft JhengHei UI" w:hint="default"/>
          <w:b/>
          <w:color w:val="FFFFFF" w:themeColor="background1"/>
          <w:kern w:val="2"/>
          <w:sz w:val="13"/>
          <w:szCs w:val="13"/>
          <w:shd w:val="clear" w:color="auto" w:fill="C00000"/>
        </w:rPr>
        <w:t>Condition</w:t>
      </w:r>
      <w:r w:rsidRPr="0038663A">
        <w:rPr>
          <w:rFonts w:ascii="Microsoft JhengHei UI" w:eastAsiaTheme="minorEastAsia" w:hAnsi="Microsoft JhengHei UI" w:cs="Microsoft JhengHei UI"/>
          <w:b/>
          <w:color w:val="FFFFFF" w:themeColor="background1"/>
          <w:kern w:val="2"/>
          <w:sz w:val="13"/>
          <w:szCs w:val="13"/>
          <w:shd w:val="clear" w:color="auto" w:fill="C00000"/>
        </w:rPr>
        <w:t>类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是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M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ybatisTSQLPlus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的私有静态内部类。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这个类定义了多个对应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语义的集合类型成员变量，用于存放对应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关键字和原生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字符串。这些集合在后面组装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sql</w:t>
      </w:r>
      <w:r w:rsidR="00A15D83" w:rsidRP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 xml:space="preserve"> (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where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之后的部分</w:t>
      </w:r>
      <w:r w:rsidR="00A15D83" w:rsidRP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)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时候用到。组装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的方法是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build</w:t>
      </w:r>
      <w:r w:rsidR="000B310C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()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，它负责组织多个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qlCause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，完成了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38663A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 + groupby + having + orderby + asc/desc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等语句的拼接（空的集合将会略过）。</w:t>
      </w:r>
    </w:p>
    <w:p w:rsidR="0038663A" w:rsidRDefault="0038663A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</w:p>
    <w:p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下面来看看这个类：类定义：</w:t>
      </w:r>
    </w:p>
    <w:p w:rsidR="00474CD5" w:rsidRPr="000B310C" w:rsidRDefault="00474CD5" w:rsidP="004E3952">
      <w:pPr>
        <w:pStyle w:val="HTML"/>
        <w:widowControl/>
        <w:shd w:val="clear" w:color="auto" w:fill="FCFEFF"/>
        <w:rPr>
          <w:rFonts w:ascii="Arial" w:hAnsi="Arial" w:cs="Arial" w:hint="default"/>
          <w:b/>
          <w:bCs/>
          <w:color w:val="3E7EFF"/>
          <w:sz w:val="10"/>
          <w:szCs w:val="10"/>
        </w:rPr>
      </w:pP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private static class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SQLCondition</w:t>
      </w:r>
    </w:p>
    <w:p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成员变量：</w:t>
      </w:r>
    </w:p>
    <w:p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</w:p>
    <w:p w:rsidR="00474CD5" w:rsidRDefault="00474CD5" w:rsidP="000B310C">
      <w:pPr>
        <w:pStyle w:val="HTML"/>
        <w:widowControl/>
        <w:shd w:val="clear" w:color="auto" w:fill="FCFEFF"/>
        <w:ind w:firstLineChars="200" w:firstLine="201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where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having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groupBy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orderBy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lastRenderedPageBreak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lastList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andOr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</w:r>
    </w:p>
    <w:p w:rsidR="00474CD5" w:rsidRDefault="00474CD5" w:rsidP="00474CD5">
      <w:pPr>
        <w:pStyle w:val="HTML"/>
        <w:widowControl/>
        <w:shd w:val="clear" w:color="auto" w:fill="FCFEFF"/>
        <w:ind w:firstLine="360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这个类的成员变量中，全部都是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ist&lt;String&gt;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类型，用来存放前面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方法中传递的参数，以及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关键字，列表数据结构的有序性在这里起到了帮助作用。</w:t>
      </w:r>
    </w:p>
    <w:p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构造函数：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在这里对成员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8D70C0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andOr 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放入了四个元素，它们都是</w:t>
      </w:r>
      <w:r w:rsidR="008D70C0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的关键字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。这个数组在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qlCause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方法中用到</w:t>
      </w:r>
      <w:r w:rsidR="004C33F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，可以看后面代码注释的地方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:rsidR="000B310C" w:rsidRDefault="00474CD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static class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SQLCondition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public </w:t>
      </w:r>
      <w:r w:rsidRPr="00474CD5">
        <w:rPr>
          <w:rFonts w:ascii="Arial" w:eastAsia="宋体" w:hAnsi="Arial" w:cs="Arial"/>
          <w:b/>
          <w:bCs/>
          <w:color w:val="170591"/>
          <w:kern w:val="0"/>
          <w:sz w:val="10"/>
          <w:szCs w:val="10"/>
        </w:rPr>
        <w:t>SQLCondition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()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AND_NEW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OR_NEW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</w:r>
      <w:r w:rsidRPr="00474CD5">
        <w:rPr>
          <w:rFonts w:ascii="Arial" w:eastAsia="宋体" w:hAnsi="Arial" w:cs="Arial"/>
          <w:color w:val="3F7F5F"/>
          <w:kern w:val="0"/>
          <w:sz w:val="10"/>
          <w:szCs w:val="10"/>
        </w:rPr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void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sqlCause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keyWord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>List</w:t>
      </w:r>
      <w:r w:rsidRPr="00474CD5">
        <w:rPr>
          <w:rFonts w:ascii="Arial" w:eastAsia="宋体" w:hAnsi="Arial" w:cs="Arial"/>
          <w:color w:val="333333"/>
          <w:kern w:val="0"/>
          <w:sz w:val="10"/>
          <w:szCs w:val="10"/>
        </w:rPr>
        <w:t>&lt;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>String</w:t>
      </w:r>
      <w:r w:rsidRPr="00474CD5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&gt;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parts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open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close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conjunction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 xml:space="preserve">  …</w:t>
      </w:r>
      <w:r w:rsidRPr="000B310C">
        <w:rPr>
          <w:rFonts w:ascii="Arial" w:eastAsia="宋体" w:hAnsi="Arial" w:cs="Arial" w:hint="eastAsia"/>
          <w:color w:val="000066"/>
          <w:kern w:val="0"/>
          <w:sz w:val="10"/>
          <w:szCs w:val="10"/>
        </w:rPr>
        <w:t>后面提到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….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 xml:space="preserve">    }</w:t>
      </w:r>
      <w:r w:rsidRPr="00474CD5">
        <w:rPr>
          <w:rFonts w:ascii="Arial" w:eastAsia="宋体" w:hAnsi="Arial" w:cs="Arial"/>
          <w:color w:val="395DA1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buildSQL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public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sql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a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>}</w:t>
      </w:r>
    </w:p>
    <w:p w:rsidR="000B310C" w:rsidRPr="000B310C" w:rsidRDefault="000B310C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color w:val="000066"/>
          <w:kern w:val="0"/>
          <w:sz w:val="10"/>
          <w:szCs w:val="10"/>
        </w:rPr>
      </w:pPr>
    </w:p>
    <w:p w:rsidR="000B310C" w:rsidRDefault="000B310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ildSQL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方法：</w:t>
      </w:r>
    </w:p>
    <w:p w:rsidR="000B310C" w:rsidRPr="000B310C" w:rsidRDefault="000B310C" w:rsidP="000B310C">
      <w:pPr>
        <w:pStyle w:val="HTML"/>
        <w:shd w:val="clear" w:color="auto" w:fill="FCFEFF"/>
        <w:rPr>
          <w:rFonts w:ascii="Arial" w:hAnsi="Arial" w:cs="Arial"/>
          <w:color w:val="000000"/>
          <w:sz w:val="10"/>
          <w:szCs w:val="10"/>
        </w:rPr>
      </w:pPr>
      <w:r>
        <w:rPr>
          <w:rFonts w:ascii="Arial" w:hAnsi="Arial" w:cs="Arial"/>
          <w:b/>
          <w:bCs/>
          <w:color w:val="7F0055"/>
          <w:sz w:val="10"/>
          <w:szCs w:val="10"/>
        </w:rPr>
        <w:t>//</w:t>
      </w:r>
      <w:r w:rsidRPr="000B310C">
        <w:rPr>
          <w:rFonts w:ascii="Arial" w:hAnsi="Arial" w:cs="Arial"/>
          <w:color w:val="395DA1"/>
          <w:sz w:val="10"/>
          <w:szCs w:val="10"/>
        </w:rPr>
        <w:t>按标准顺序链接并构建</w:t>
      </w:r>
      <w:r w:rsidRPr="000B310C">
        <w:rPr>
          <w:rFonts w:ascii="Arial" w:hAnsi="Arial" w:cs="Arial"/>
          <w:color w:val="395DA1"/>
          <w:sz w:val="10"/>
          <w:szCs w:val="10"/>
        </w:rPr>
        <w:t>SQL</w:t>
      </w:r>
    </w:p>
    <w:p w:rsidR="000B310C" w:rsidRDefault="000B310C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  <w:r w:rsidRPr="000B310C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</w:t>
      </w:r>
      <w:r w:rsidRPr="000B310C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buildSQL 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"WHERE"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where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"GROUP BY"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groupBy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","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"HAVING"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having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"ORDER BY"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orderBy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","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return 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toString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}</w:t>
      </w:r>
    </w:p>
    <w:p w:rsidR="006E2665" w:rsidRDefault="006E266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</w:p>
    <w:p w:rsidR="006E2665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最关键的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qlCause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sqlCause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方法时执行具体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拼接的核心逻辑，该方法的实现难点，我认为是拼接过程的顺序性。它巧妙利用了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结构的有序性，最终输出了正确的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条件部分</w:t>
      </w:r>
      <w:r w:rsidR="001146A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:rsidR="001146AC" w:rsidRDefault="001146AC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:rsidR="001146AC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private void 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sqlCause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SafeAppendable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keyWord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>List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>String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open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close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conjunction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// parts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集合不为空的情况下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</w:t>
      </w: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isEmpty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())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//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如果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builder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不为空，则准备换行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isEmpty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())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\n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keyWord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 "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open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lastRenderedPageBreak/>
        <w:t xml:space="preserve">       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last 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"__"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</w:p>
    <w:p w:rsidR="006E2665" w:rsidRPr="006E2665" w:rsidRDefault="001146AC" w:rsidP="001146A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146AC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//</w:t>
      </w:r>
      <w:r w:rsidRPr="001146AC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 w:rsidRPr="001146AC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遍历集合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for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int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0,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n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size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&lt;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n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++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part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get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0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//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若当前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part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是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3F7F5F"/>
          <w:kern w:val="0"/>
          <w:sz w:val="18"/>
          <w:szCs w:val="18"/>
        </w:rPr>
        <w:t>sql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关键字，则拼接关键字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.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继续下一层循环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        //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若不是，如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part = "stauts=1"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，同样要拼接关键字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调用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sqlCause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方法时指定的关键字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conjunction)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，再拼接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part.</w:t>
      </w:r>
      <w:r w:rsidR="000F5238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 w:rsidR="000F5238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然后才开始下一次循环。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566874"/>
          <w:kern w:val="0"/>
          <w:sz w:val="18"/>
          <w:szCs w:val="18"/>
        </w:rPr>
        <w:t>andOr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contains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|| </w:t>
      </w:r>
      <w:r w:rsidR="006E2665" w:rsidRPr="006E2665">
        <w:rPr>
          <w:rFonts w:ascii="Arial" w:eastAsia="宋体" w:hAnsi="Arial" w:cs="Arial"/>
          <w:color w:val="566874"/>
          <w:kern w:val="0"/>
          <w:sz w:val="18"/>
          <w:szCs w:val="18"/>
        </w:rPr>
        <w:t>andOr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contains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last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last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>continue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 xml:space="preserve">}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else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conjunction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close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>}</w:t>
      </w:r>
    </w:p>
    <w:p w:rsidR="006E2665" w:rsidRPr="006E2665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:rsidR="006E2665" w:rsidRPr="000B310C" w:rsidRDefault="006E266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color w:val="000000"/>
          <w:kern w:val="0"/>
          <w:sz w:val="10"/>
          <w:szCs w:val="10"/>
        </w:rPr>
      </w:pPr>
    </w:p>
    <w:p w:rsidR="000B310C" w:rsidRDefault="000B310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对了，</w:t>
      </w:r>
      <w:r w:rsidR="000F5238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字符串存储在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SafeAppendable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</w:t>
      </w:r>
      <w:r w:rsidR="002D7A2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成员属性</w:t>
      </w:r>
      <w:r w:rsidR="002D7A2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中。</w:t>
      </w:r>
    </w:p>
    <w:p w:rsidR="002D7A23" w:rsidRDefault="002D7A23" w:rsidP="002D7A2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</w:pPr>
      <w:r w:rsidRPr="002D7A23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final </w:t>
      </w:r>
      <w:r w:rsidRPr="002D7A23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Appendable </w:t>
      </w:r>
      <w:r w:rsidRPr="002D7A23">
        <w:rPr>
          <w:rFonts w:ascii="Arial" w:eastAsia="宋体" w:hAnsi="Arial" w:cs="Arial"/>
          <w:color w:val="566874"/>
          <w:kern w:val="0"/>
          <w:sz w:val="10"/>
          <w:szCs w:val="10"/>
        </w:rPr>
        <w:t>a</w:t>
      </w:r>
      <w:r w:rsidRPr="002D7A23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</w:p>
    <w:p w:rsidR="002C2611" w:rsidRDefault="002D7A23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Appendable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类型，</w:t>
      </w:r>
      <w:r w:rsidRPr="000F5238">
        <w:rPr>
          <w:rFonts w:ascii="Microsoft JhengHei UI" w:hAnsi="Microsoft JhengHei UI" w:cs="Microsoft JhengHei UI" w:hint="eastAsia"/>
          <w:b/>
          <w:color w:val="000000"/>
          <w:sz w:val="11"/>
          <w:szCs w:val="11"/>
          <w:shd w:val="clear" w:color="auto" w:fill="FCFEFF"/>
        </w:rPr>
        <w:t>String</w:t>
      </w:r>
      <w:r w:rsidRPr="000F5238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FCFEFF"/>
        </w:rPr>
        <w:t>Buffer,StringBuilder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的父类实现了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ppendable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接口，所以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可以将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ppendable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实例当作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FCFEFF"/>
        </w:rPr>
        <w:t>StringBuilder/Buffer</w:t>
      </w:r>
      <w:r w:rsid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同样对待使用，比如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E2EFD9" w:themeFill="accent6" w:themeFillTint="33"/>
        </w:rPr>
        <w:t xml:space="preserve"> 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E2EFD9" w:themeFill="accent6" w:themeFillTint="33"/>
        </w:rPr>
        <w:t>Appendable a = new StringBuffer();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E2EFD9" w:themeFill="accent6" w:themeFillTint="33"/>
        </w:rPr>
        <w:t xml:space="preserve"> 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这样的设计得以支持运行时多态。</w:t>
      </w:r>
    </w:p>
    <w:p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测试代码，以及测试结果：</w:t>
      </w:r>
    </w:p>
    <w:p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357B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t>@Test</w:t>
      </w:r>
      <w:r w:rsidRPr="00D357B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public void 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 xml:space="preserve">testSQL11 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 xml:space="preserve">() </w:t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t>{</w:t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/*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*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实体待查询使用方法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 xml:space="preserve">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输出看结果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* */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setEntity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new 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User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1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where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"name={0}"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"zhangsan"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"id=1"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"status={0}"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"0"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"status=1"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notLike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"nlike"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"notvalue"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"new=xx"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like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"hhh"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"ddd"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"pwd=11"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isNotNull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"n1,n2"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isNull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groupBy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groupBy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"x2,x3"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having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"x1=11"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having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"x3=433"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orderBy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"dd"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orderBy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"d1,w2"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lastRenderedPageBreak/>
        <w:t xml:space="preserve">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>System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println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getSqlSegment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())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t>}</w:t>
      </w:r>
    </w:p>
    <w:p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//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输出：</w:t>
      </w:r>
    </w:p>
    <w:p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AND (name=zhangsan AND id=1) </w:t>
      </w:r>
    </w:p>
    <w:p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 (status=0 OR status=1 AND nlike NOT LIKE CONCAT(CONCAT('%', 'notvalue'), '%')) </w:t>
      </w:r>
    </w:p>
    <w:p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AND (new=xx AND hhh LIKE CONCAT(CONCAT('%', 'ddd'), '%')) </w:t>
      </w:r>
    </w:p>
    <w:p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AND (pwd=11 AND n1 IS NOT NULL AND n2 IS NOT NULL AND n3 IS NULL)</w:t>
      </w:r>
    </w:p>
    <w:p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GROUP BY (x1,x2,x3)</w:t>
      </w:r>
    </w:p>
    <w:p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HAVING (x1=11 OR x3=433)</w:t>
      </w:r>
    </w:p>
    <w:p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ORDER BY (dd,d1,w2)</w:t>
      </w:r>
    </w:p>
    <w:p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:rsidR="00E46E84" w:rsidRDefault="00E21A7B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我去年开始接触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ybatis-plus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框架，每回写着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entityWrapper.where(“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”, 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“’m’”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).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“name”,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“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”)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</w:t>
      </w:r>
      <w:r w:rsidR="00E46E84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代码时，总会想起这么优雅代码背后的实现方式，当时对框架原理了解不多，总没有想通这个实现过程。今天理解了这个过程之后，特别兴奋，长时间搁置心头的一个问题算是被解开，再次说明学习这个框架的源码，能够开发脑洞思考，比学习数据结构，算法有趣。</w:t>
      </w:r>
    </w:p>
    <w:p w:rsidR="00E46E84" w:rsidRDefault="00E46E84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p w:rsidR="00D357B8" w:rsidRPr="002F742E" w:rsidRDefault="00B83CA1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对写出这个代码的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anghu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先生表示敬佩之意。我以前也写过一些巧妙的代码，解决了本会出现的代码冗余问题，我相信自己以后还能写出更有灵性的代码。每当遇见有设计性的代码，自己总会持欣赏态度，因为它们很多时候都</w:t>
      </w:r>
      <w:r w:rsidR="006B4D94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能够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刷新我对这块的</w:t>
      </w:r>
      <w:r w:rsidR="0098530F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认知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  <w:bookmarkStart w:id="0" w:name="_GoBack"/>
      <w:bookmarkEnd w:id="0"/>
    </w:p>
    <w:sectPr w:rsidR="00D357B8" w:rsidRPr="002F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61C" w:rsidRDefault="00F0261C" w:rsidP="002F742E">
      <w:r>
        <w:separator/>
      </w:r>
    </w:p>
  </w:endnote>
  <w:endnote w:type="continuationSeparator" w:id="0">
    <w:p w:rsidR="00F0261C" w:rsidRDefault="00F0261C" w:rsidP="002F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61C" w:rsidRDefault="00F0261C" w:rsidP="002F742E">
      <w:r>
        <w:separator/>
      </w:r>
    </w:p>
  </w:footnote>
  <w:footnote w:type="continuationSeparator" w:id="0">
    <w:p w:rsidR="00F0261C" w:rsidRDefault="00F0261C" w:rsidP="002F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76B6C83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20000DE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6CC0A1F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C282A6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2A16D78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9A88F58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C24C964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22FEB7D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853E3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962A35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35023"/>
    <w:rsid w:val="00063CD8"/>
    <w:rsid w:val="00065478"/>
    <w:rsid w:val="00075EE9"/>
    <w:rsid w:val="00080AA2"/>
    <w:rsid w:val="000B310C"/>
    <w:rsid w:val="000E5BDF"/>
    <w:rsid w:val="000F5238"/>
    <w:rsid w:val="001146AC"/>
    <w:rsid w:val="00163AF6"/>
    <w:rsid w:val="001F379C"/>
    <w:rsid w:val="002C2611"/>
    <w:rsid w:val="002D7A23"/>
    <w:rsid w:val="002F4342"/>
    <w:rsid w:val="002F742E"/>
    <w:rsid w:val="00317355"/>
    <w:rsid w:val="0033199F"/>
    <w:rsid w:val="00336DFE"/>
    <w:rsid w:val="00337B14"/>
    <w:rsid w:val="0038663A"/>
    <w:rsid w:val="003F042B"/>
    <w:rsid w:val="003F79BF"/>
    <w:rsid w:val="00474CD5"/>
    <w:rsid w:val="004C33F0"/>
    <w:rsid w:val="004E17DE"/>
    <w:rsid w:val="004E3952"/>
    <w:rsid w:val="0054040C"/>
    <w:rsid w:val="00541269"/>
    <w:rsid w:val="00550635"/>
    <w:rsid w:val="00557131"/>
    <w:rsid w:val="00564DDD"/>
    <w:rsid w:val="00576B13"/>
    <w:rsid w:val="005D2801"/>
    <w:rsid w:val="00623E5B"/>
    <w:rsid w:val="006A60EE"/>
    <w:rsid w:val="006B4D94"/>
    <w:rsid w:val="006E0625"/>
    <w:rsid w:val="006E2665"/>
    <w:rsid w:val="006E5682"/>
    <w:rsid w:val="00701339"/>
    <w:rsid w:val="007522AA"/>
    <w:rsid w:val="007D47C7"/>
    <w:rsid w:val="0082556E"/>
    <w:rsid w:val="008438C8"/>
    <w:rsid w:val="0084526C"/>
    <w:rsid w:val="00875365"/>
    <w:rsid w:val="00892BA4"/>
    <w:rsid w:val="008D70C0"/>
    <w:rsid w:val="0090249C"/>
    <w:rsid w:val="009250FA"/>
    <w:rsid w:val="00942ABF"/>
    <w:rsid w:val="00952847"/>
    <w:rsid w:val="009740D7"/>
    <w:rsid w:val="0098530F"/>
    <w:rsid w:val="009B5B83"/>
    <w:rsid w:val="009C2263"/>
    <w:rsid w:val="009F262D"/>
    <w:rsid w:val="00A15D83"/>
    <w:rsid w:val="00A25C26"/>
    <w:rsid w:val="00A31F4E"/>
    <w:rsid w:val="00A3337F"/>
    <w:rsid w:val="00A92DEA"/>
    <w:rsid w:val="00B450E6"/>
    <w:rsid w:val="00B75897"/>
    <w:rsid w:val="00B81F85"/>
    <w:rsid w:val="00B82C92"/>
    <w:rsid w:val="00B83CA1"/>
    <w:rsid w:val="00BA0DB4"/>
    <w:rsid w:val="00BA7D63"/>
    <w:rsid w:val="00BB2D80"/>
    <w:rsid w:val="00C30231"/>
    <w:rsid w:val="00D05905"/>
    <w:rsid w:val="00D23A4A"/>
    <w:rsid w:val="00D357B8"/>
    <w:rsid w:val="00D41A9C"/>
    <w:rsid w:val="00D47C64"/>
    <w:rsid w:val="00D70BBD"/>
    <w:rsid w:val="00D75FB4"/>
    <w:rsid w:val="00DD3729"/>
    <w:rsid w:val="00DD6834"/>
    <w:rsid w:val="00E21A7B"/>
    <w:rsid w:val="00E46E84"/>
    <w:rsid w:val="00EB2CDA"/>
    <w:rsid w:val="00F0261C"/>
    <w:rsid w:val="00F62F94"/>
    <w:rsid w:val="00FB2C38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A01241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8A546A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ECF1F7E"/>
    <w:rsid w:val="4F082DFB"/>
    <w:rsid w:val="4F685D67"/>
    <w:rsid w:val="51166DBF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691559D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92413"/>
  <w15:docId w15:val="{6DF33CAF-78C7-4080-B55D-56A3CC8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rPr>
      <w:color w:val="0563C1" w:themeColor="hyperlink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csdn.net/tomato__/article/details/2206044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EF13F-A317-48C0-B5E2-589AA9B4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24</Pages>
  <Words>3782</Words>
  <Characters>21562</Characters>
  <Application>Microsoft Office Word</Application>
  <DocSecurity>0</DocSecurity>
  <Lines>179</Lines>
  <Paragraphs>50</Paragraphs>
  <ScaleCrop>false</ScaleCrop>
  <Company/>
  <LinksUpToDate>false</LinksUpToDate>
  <CharactersWithSpaces>25294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林 枨锜</cp:lastModifiedBy>
  <cp:revision>48</cp:revision>
  <dcterms:created xsi:type="dcterms:W3CDTF">2019-03-15T08:43:00Z</dcterms:created>
  <dcterms:modified xsi:type="dcterms:W3CDTF">2019-08-15T15:34:00Z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