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 is the market research on biotech in list markdowns:</w:t>
      </w:r>
    </w:p>
    <w:bookmarkStart w:id="34" w:name="executive-summary"/>
    <w:p>
      <w:pPr>
        <w:pStyle w:val="Heading1"/>
      </w:pPr>
      <w:r>
        <w:t xml:space="preserve">Executive Summary</w:t>
      </w:r>
    </w:p>
    <w:p>
      <w:pPr>
        <w:pStyle w:val="FirstParagraph"/>
      </w:pPr>
      <w:r>
        <w:t xml:space="preserve">The global biotechnology market is expected to grow from USD 1.38 trillion in 2023 to USD 4.25 trillion by 2033, at a CAGR of 11.8% during the forecast period. The market is driven by factors such as improvement of healthcare infrastructure, clinical trial services, and supportive government regulations. The U.S. biotechnology market is expected to grow from USD 246.18 billion in 2023 to USD 763.82 billion by 2033, at a CAGR of 11.90% during the forecast period.</w:t>
      </w:r>
    </w:p>
    <w:bookmarkStart w:id="23" w:name="market-analysis"/>
    <w:p>
      <w:pPr>
        <w:pStyle w:val="Heading2"/>
      </w:pPr>
      <w:r>
        <w:t xml:space="preserve">Market Analysis</w:t>
      </w:r>
    </w:p>
    <w:bookmarkStart w:id="20" w:name="by-product"/>
    <w:p>
      <w:pPr>
        <w:pStyle w:val="Heading3"/>
      </w:pPr>
      <w:r>
        <w:t xml:space="preserve">1. By Product</w:t>
      </w:r>
    </w:p>
    <w:p>
      <w:pPr>
        <w:pStyle w:val="Compact"/>
        <w:numPr>
          <w:ilvl w:val="0"/>
          <w:numId w:val="1001"/>
        </w:numPr>
      </w:pPr>
      <w:r>
        <w:t xml:space="preserve">Biopharmaceuticals</w:t>
      </w:r>
    </w:p>
    <w:p>
      <w:pPr>
        <w:pStyle w:val="Compact"/>
        <w:numPr>
          <w:ilvl w:val="0"/>
          <w:numId w:val="1001"/>
        </w:numPr>
      </w:pPr>
      <w:r>
        <w:t xml:space="preserve">Bioservices</w:t>
      </w:r>
    </w:p>
    <w:p>
      <w:pPr>
        <w:pStyle w:val="Compact"/>
        <w:numPr>
          <w:ilvl w:val="0"/>
          <w:numId w:val="1001"/>
        </w:numPr>
      </w:pPr>
      <w:r>
        <w:t xml:space="preserve">Bioagriculture</w:t>
      </w:r>
    </w:p>
    <w:p>
      <w:pPr>
        <w:pStyle w:val="Compact"/>
        <w:numPr>
          <w:ilvl w:val="0"/>
          <w:numId w:val="1001"/>
        </w:numPr>
      </w:pPr>
      <w:r>
        <w:t xml:space="preserve">Bioindustrial</w:t>
      </w:r>
    </w:p>
    <w:bookmarkEnd w:id="20"/>
    <w:bookmarkStart w:id="21" w:name="by-application"/>
    <w:p>
      <w:pPr>
        <w:pStyle w:val="Heading3"/>
      </w:pPr>
      <w:r>
        <w:t xml:space="preserve">2. By Application</w:t>
      </w:r>
    </w:p>
    <w:p>
      <w:pPr>
        <w:pStyle w:val="Compact"/>
        <w:numPr>
          <w:ilvl w:val="0"/>
          <w:numId w:val="1002"/>
        </w:numPr>
      </w:pPr>
      <w:r>
        <w:t xml:space="preserve">Healthcare</w:t>
      </w:r>
    </w:p>
    <w:p>
      <w:pPr>
        <w:pStyle w:val="Compact"/>
        <w:numPr>
          <w:ilvl w:val="0"/>
          <w:numId w:val="1002"/>
        </w:numPr>
      </w:pPr>
      <w:r>
        <w:t xml:space="preserve">Agriculture</w:t>
      </w:r>
    </w:p>
    <w:p>
      <w:pPr>
        <w:pStyle w:val="Compact"/>
        <w:numPr>
          <w:ilvl w:val="0"/>
          <w:numId w:val="1002"/>
        </w:numPr>
      </w:pPr>
      <w:r>
        <w:t xml:space="preserve">Industrial</w:t>
      </w:r>
    </w:p>
    <w:p>
      <w:pPr>
        <w:pStyle w:val="Compact"/>
        <w:numPr>
          <w:ilvl w:val="0"/>
          <w:numId w:val="1002"/>
        </w:numPr>
      </w:pPr>
      <w:r>
        <w:t xml:space="preserve">Environmental</w:t>
      </w:r>
    </w:p>
    <w:bookmarkEnd w:id="21"/>
    <w:bookmarkStart w:id="22" w:name="by-geography"/>
    <w:p>
      <w:pPr>
        <w:pStyle w:val="Heading3"/>
      </w:pPr>
      <w:r>
        <w:t xml:space="preserve">3. By Geography</w:t>
      </w:r>
    </w:p>
    <w:p>
      <w:pPr>
        <w:pStyle w:val="Compact"/>
        <w:numPr>
          <w:ilvl w:val="0"/>
          <w:numId w:val="1003"/>
        </w:numPr>
      </w:pPr>
      <w:r>
        <w:t xml:space="preserve">North America</w:t>
      </w:r>
    </w:p>
    <w:p>
      <w:pPr>
        <w:pStyle w:val="Compact"/>
        <w:numPr>
          <w:ilvl w:val="0"/>
          <w:numId w:val="1003"/>
        </w:numPr>
      </w:pPr>
      <w:r>
        <w:t xml:space="preserve">Europe</w:t>
      </w:r>
    </w:p>
    <w:p>
      <w:pPr>
        <w:pStyle w:val="Compact"/>
        <w:numPr>
          <w:ilvl w:val="0"/>
          <w:numId w:val="1003"/>
        </w:numPr>
      </w:pPr>
      <w:r>
        <w:t xml:space="preserve">Asia-Pacific</w:t>
      </w:r>
    </w:p>
    <w:p>
      <w:pPr>
        <w:pStyle w:val="Compact"/>
        <w:numPr>
          <w:ilvl w:val="0"/>
          <w:numId w:val="1003"/>
        </w:numPr>
      </w:pPr>
      <w:r>
        <w:t xml:space="preserve">Latin America</w:t>
      </w:r>
    </w:p>
    <w:p>
      <w:pPr>
        <w:pStyle w:val="Compact"/>
        <w:numPr>
          <w:ilvl w:val="0"/>
          <w:numId w:val="1003"/>
        </w:numPr>
      </w:pPr>
      <w:r>
        <w:t xml:space="preserve">Middle East &amp; Africa</w:t>
      </w:r>
    </w:p>
    <w:bookmarkEnd w:id="22"/>
    <w:bookmarkEnd w:id="23"/>
    <w:bookmarkStart w:id="24" w:name="key-market-drivers"/>
    <w:p>
      <w:pPr>
        <w:pStyle w:val="Heading2"/>
      </w:pPr>
      <w:r>
        <w:t xml:space="preserve">Key Market Drivers</w:t>
      </w:r>
    </w:p>
    <w:p>
      <w:pPr>
        <w:pStyle w:val="Compact"/>
        <w:numPr>
          <w:ilvl w:val="0"/>
          <w:numId w:val="1004"/>
        </w:numPr>
      </w:pPr>
      <w:r>
        <w:t xml:space="preserve">Improvement of healthcare infrastructure</w:t>
      </w:r>
    </w:p>
    <w:p>
      <w:pPr>
        <w:pStyle w:val="Compact"/>
        <w:numPr>
          <w:ilvl w:val="0"/>
          <w:numId w:val="1004"/>
        </w:numPr>
      </w:pPr>
      <w:r>
        <w:t xml:space="preserve">Clinical trial services</w:t>
      </w:r>
    </w:p>
    <w:p>
      <w:pPr>
        <w:pStyle w:val="Compact"/>
        <w:numPr>
          <w:ilvl w:val="0"/>
          <w:numId w:val="1004"/>
        </w:numPr>
      </w:pPr>
      <w:r>
        <w:t xml:space="preserve">Supportive government regulations (especially in Asia-Pacific region)</w:t>
      </w:r>
    </w:p>
    <w:bookmarkEnd w:id="24"/>
    <w:bookmarkStart w:id="25" w:name="key-market-challenges"/>
    <w:p>
      <w:pPr>
        <w:pStyle w:val="Heading2"/>
      </w:pPr>
      <w:r>
        <w:t xml:space="preserve">Key Market Challenges</w:t>
      </w:r>
    </w:p>
    <w:p>
      <w:pPr>
        <w:pStyle w:val="Compact"/>
        <w:numPr>
          <w:ilvl w:val="0"/>
          <w:numId w:val="1005"/>
        </w:numPr>
      </w:pPr>
      <w:r>
        <w:t xml:space="preserve">High research and development costs</w:t>
      </w:r>
    </w:p>
    <w:p>
      <w:pPr>
        <w:pStyle w:val="Compact"/>
        <w:numPr>
          <w:ilvl w:val="0"/>
          <w:numId w:val="1005"/>
        </w:numPr>
      </w:pPr>
      <w:r>
        <w:t xml:space="preserve">Stringent regulatory requirements</w:t>
      </w:r>
    </w:p>
    <w:p>
      <w:pPr>
        <w:pStyle w:val="Compact"/>
        <w:numPr>
          <w:ilvl w:val="0"/>
          <w:numId w:val="1005"/>
        </w:numPr>
      </w:pPr>
      <w:r>
        <w:t xml:space="preserve">Ethical concerns related to genetic engineering</w:t>
      </w:r>
    </w:p>
    <w:bookmarkEnd w:id="25"/>
    <w:bookmarkStart w:id="28" w:name="competitive-landscape"/>
    <w:p>
      <w:pPr>
        <w:pStyle w:val="Heading2"/>
      </w:pPr>
      <w:r>
        <w:t xml:space="preserve">Competitive Landscape</w:t>
      </w:r>
    </w:p>
    <w:bookmarkStart w:id="26" w:name="key-players"/>
    <w:p>
      <w:pPr>
        <w:pStyle w:val="Heading3"/>
      </w:pPr>
      <w:r>
        <w:t xml:space="preserve">1. Key Players</w:t>
      </w:r>
    </w:p>
    <w:p>
      <w:pPr>
        <w:pStyle w:val="Compact"/>
        <w:numPr>
          <w:ilvl w:val="0"/>
          <w:numId w:val="1006"/>
        </w:numPr>
      </w:pPr>
      <w:r>
        <w:t xml:space="preserve">Biocon</w:t>
      </w:r>
    </w:p>
    <w:p>
      <w:pPr>
        <w:pStyle w:val="Compact"/>
        <w:numPr>
          <w:ilvl w:val="0"/>
          <w:numId w:val="1006"/>
        </w:numPr>
      </w:pPr>
      <w:r>
        <w:t xml:space="preserve">Dr. Reddy’s Laboratories</w:t>
      </w:r>
    </w:p>
    <w:p>
      <w:pPr>
        <w:pStyle w:val="Compact"/>
        <w:numPr>
          <w:ilvl w:val="0"/>
          <w:numId w:val="1006"/>
        </w:numPr>
      </w:pPr>
      <w:r>
        <w:t xml:space="preserve">Sun Pharma</w:t>
      </w:r>
    </w:p>
    <w:p>
      <w:pPr>
        <w:pStyle w:val="Compact"/>
        <w:numPr>
          <w:ilvl w:val="0"/>
          <w:numId w:val="1006"/>
        </w:numPr>
      </w:pPr>
      <w:r>
        <w:t xml:space="preserve">Cipla</w:t>
      </w:r>
    </w:p>
    <w:p>
      <w:pPr>
        <w:pStyle w:val="Compact"/>
        <w:numPr>
          <w:ilvl w:val="0"/>
          <w:numId w:val="1006"/>
        </w:numPr>
      </w:pPr>
      <w:r>
        <w:t xml:space="preserve">Glenmark Pharmaceuticals</w:t>
      </w:r>
    </w:p>
    <w:p>
      <w:pPr>
        <w:pStyle w:val="Compact"/>
        <w:numPr>
          <w:ilvl w:val="0"/>
          <w:numId w:val="1006"/>
        </w:numPr>
      </w:pPr>
      <w:r>
        <w:t xml:space="preserve">Serum Institute of India</w:t>
      </w:r>
    </w:p>
    <w:p>
      <w:pPr>
        <w:pStyle w:val="Compact"/>
        <w:numPr>
          <w:ilvl w:val="0"/>
          <w:numId w:val="1006"/>
        </w:numPr>
      </w:pPr>
      <w:r>
        <w:t xml:space="preserve">Panacea Biotec</w:t>
      </w:r>
    </w:p>
    <w:p>
      <w:pPr>
        <w:pStyle w:val="Compact"/>
        <w:numPr>
          <w:ilvl w:val="0"/>
          <w:numId w:val="1006"/>
        </w:numPr>
      </w:pPr>
      <w:r>
        <w:t xml:space="preserve">Jubilant Life Sciences</w:t>
      </w:r>
    </w:p>
    <w:p>
      <w:pPr>
        <w:pStyle w:val="Compact"/>
        <w:numPr>
          <w:ilvl w:val="0"/>
          <w:numId w:val="1006"/>
        </w:numPr>
      </w:pPr>
      <w:r>
        <w:t xml:space="preserve">Wockhardt</w:t>
      </w:r>
    </w:p>
    <w:bookmarkEnd w:id="26"/>
    <w:bookmarkStart w:id="27" w:name="market-share"/>
    <w:p>
      <w:pPr>
        <w:pStyle w:val="Heading3"/>
      </w:pPr>
      <w:r>
        <w:t xml:space="preserve">2. Market Share</w:t>
      </w:r>
    </w:p>
    <w:p>
      <w:pPr>
        <w:pStyle w:val="Compact"/>
        <w:numPr>
          <w:ilvl w:val="0"/>
          <w:numId w:val="1007"/>
        </w:numPr>
      </w:pPr>
      <w:r>
        <w:t xml:space="preserve">North America dominated the global biotechnology market with revenue share in 2023</w:t>
      </w:r>
    </w:p>
    <w:bookmarkEnd w:id="27"/>
    <w:bookmarkEnd w:id="28"/>
    <w:bookmarkStart w:id="33" w:name="regional-analysis"/>
    <w:p>
      <w:pPr>
        <w:pStyle w:val="Heading2"/>
      </w:pPr>
      <w:r>
        <w:t xml:space="preserve">Regional Analysis</w:t>
      </w:r>
    </w:p>
    <w:bookmarkStart w:id="29" w:name="north-america"/>
    <w:p>
      <w:pPr>
        <w:pStyle w:val="Heading3"/>
      </w:pPr>
      <w:r>
        <w:t xml:space="preserve">1. North America</w:t>
      </w:r>
    </w:p>
    <w:p>
      <w:pPr>
        <w:pStyle w:val="Compact"/>
        <w:numPr>
          <w:ilvl w:val="0"/>
          <w:numId w:val="1008"/>
        </w:numPr>
      </w:pPr>
      <w:r>
        <w:t xml:space="preserve">The U.S. biotechnology market is expected to grow from USD 246.18 billion in 2023 to USD 763.82 billion by 2033, at a CAGR of 11.90% during the forecast period.</w:t>
      </w:r>
    </w:p>
    <w:bookmarkEnd w:id="29"/>
    <w:bookmarkStart w:id="30" w:name="europe"/>
    <w:p>
      <w:pPr>
        <w:pStyle w:val="Heading3"/>
      </w:pPr>
      <w:r>
        <w:t xml:space="preserve">2. Europe</w:t>
      </w:r>
    </w:p>
    <w:p>
      <w:pPr>
        <w:pStyle w:val="Compact"/>
        <w:numPr>
          <w:ilvl w:val="0"/>
          <w:numId w:val="1009"/>
        </w:numPr>
      </w:pPr>
      <w:r>
        <w:t xml:space="preserve">The European biotechnology market is expected to grow at a significant CAGR during the forecast period.</w:t>
      </w:r>
    </w:p>
    <w:bookmarkEnd w:id="30"/>
    <w:bookmarkStart w:id="31" w:name="asia-pacific"/>
    <w:p>
      <w:pPr>
        <w:pStyle w:val="Heading3"/>
      </w:pPr>
      <w:r>
        <w:t xml:space="preserve">3. Asia-Pacific</w:t>
      </w:r>
    </w:p>
    <w:p>
      <w:pPr>
        <w:pStyle w:val="Compact"/>
        <w:numPr>
          <w:ilvl w:val="0"/>
          <w:numId w:val="1010"/>
        </w:numPr>
      </w:pPr>
      <w:r>
        <w:t xml:space="preserve">The Asia-Pacific biotechnology market is expected to grow at the highest CAGR during the forecast period, driven by supportive government regulations and increasing investments in biotechnology research and development.</w:t>
      </w:r>
    </w:p>
    <w:bookmarkEnd w:id="31"/>
    <w:bookmarkStart w:id="32" w:name="latin-america"/>
    <w:p>
      <w:pPr>
        <w:pStyle w:val="Heading3"/>
      </w:pPr>
      <w:r>
        <w:t xml:space="preserve">4. Latin America</w:t>
      </w:r>
    </w:p>
    <w:p>
      <w:pPr>
        <w:pStyle w:val="Compact"/>
        <w:numPr>
          <w:ilvl w:val="0"/>
          <w:numId w:val="1011"/>
        </w:numPr>
      </w:pPr>
      <w:r>
        <w:t xml:space="preserve">The Latin American biotechnology market is expected to grow at a moderate CAGR during the forecast</w:t>
      </w:r>
    </w:p>
    <w:p>
      <w:pPr>
        <w:pStyle w:val="FirstParagraph"/>
      </w:pPr>
      <w:r>
        <w:t xml:space="preserve">Here are the market size and projections in lists with markdowns and cited links:</w:t>
      </w:r>
    </w:p>
    <w:bookmarkEnd w:id="32"/>
    <w:bookmarkEnd w:id="33"/>
    <w:bookmarkEnd w:id="34"/>
    <w:bookmarkStart w:id="35" w:name="X4bab38382d42bb88a4f59cabcbd42d192386223"/>
    <w:p>
      <w:pPr>
        <w:pStyle w:val="Heading1"/>
      </w:pPr>
      <w:r>
        <w:rPr>
          <w:b/>
          <w:bCs/>
        </w:rPr>
        <w:t xml:space="preserve">Global Biotechnology Market Size and Projections</w:t>
      </w:r>
    </w:p>
    <w:p>
      <w:pPr>
        <w:pStyle w:val="Compact"/>
        <w:numPr>
          <w:ilvl w:val="0"/>
          <w:numId w:val="1012"/>
        </w:numPr>
      </w:pPr>
      <w:r>
        <w:rPr>
          <w:b/>
          <w:bCs/>
        </w:rPr>
        <w:t xml:space="preserve">2023:</w:t>
      </w:r>
      <w:r>
        <w:t xml:space="preserve"> </w:t>
      </w:r>
      <w:r>
        <w:t xml:space="preserve">USD 1.38 trillion [1]</w:t>
      </w:r>
    </w:p>
    <w:p>
      <w:pPr>
        <w:pStyle w:val="Compact"/>
        <w:numPr>
          <w:ilvl w:val="0"/>
          <w:numId w:val="1012"/>
        </w:numPr>
      </w:pPr>
      <w:r>
        <w:rPr>
          <w:b/>
          <w:bCs/>
        </w:rPr>
        <w:t xml:space="preserve">2033:</w:t>
      </w:r>
      <w:r>
        <w:t xml:space="preserve"> </w:t>
      </w:r>
      <w:r>
        <w:t xml:space="preserve">USD 4.25 trillion (expected) [1]</w:t>
      </w:r>
    </w:p>
    <w:p>
      <w:pPr>
        <w:pStyle w:val="Compact"/>
        <w:numPr>
          <w:ilvl w:val="0"/>
          <w:numId w:val="1012"/>
        </w:numPr>
      </w:pPr>
      <w:r>
        <w:rPr>
          <w:b/>
          <w:bCs/>
        </w:rPr>
        <w:t xml:space="preserve">CAGR (2024-2033):</w:t>
      </w:r>
      <w:r>
        <w:t xml:space="preserve"> </w:t>
      </w:r>
      <w:r>
        <w:t xml:space="preserve">11.8% [1]</w:t>
      </w:r>
    </w:p>
    <w:bookmarkEnd w:id="35"/>
    <w:bookmarkStart w:id="36" w:name="Xe0e522fab986f31b15f3d0a7e659379a9eceb70"/>
    <w:p>
      <w:pPr>
        <w:pStyle w:val="Heading1"/>
      </w:pPr>
      <w:r>
        <w:rPr>
          <w:b/>
          <w:bCs/>
        </w:rPr>
        <w:t xml:space="preserve">U.S. Biotechnology Market Size and Projections</w:t>
      </w:r>
    </w:p>
    <w:p>
      <w:pPr>
        <w:pStyle w:val="Compact"/>
        <w:numPr>
          <w:ilvl w:val="0"/>
          <w:numId w:val="1013"/>
        </w:numPr>
      </w:pPr>
      <w:r>
        <w:rPr>
          <w:b/>
          <w:bCs/>
        </w:rPr>
        <w:t xml:space="preserve">2023:</w:t>
      </w:r>
      <w:r>
        <w:t xml:space="preserve"> </w:t>
      </w:r>
      <w:r>
        <w:t xml:space="preserve">USD 246.18 billion [1]</w:t>
      </w:r>
    </w:p>
    <w:p>
      <w:pPr>
        <w:pStyle w:val="Compact"/>
        <w:numPr>
          <w:ilvl w:val="0"/>
          <w:numId w:val="1013"/>
        </w:numPr>
      </w:pPr>
      <w:r>
        <w:rPr>
          <w:b/>
          <w:bCs/>
        </w:rPr>
        <w:t xml:space="preserve">2033:</w:t>
      </w:r>
      <w:r>
        <w:t xml:space="preserve"> </w:t>
      </w:r>
      <w:r>
        <w:t xml:space="preserve">USD 763.82 billion (expected) [1]</w:t>
      </w:r>
    </w:p>
    <w:p>
      <w:pPr>
        <w:pStyle w:val="Compact"/>
        <w:numPr>
          <w:ilvl w:val="0"/>
          <w:numId w:val="1013"/>
        </w:numPr>
      </w:pPr>
      <w:r>
        <w:rPr>
          <w:b/>
          <w:bCs/>
        </w:rPr>
        <w:t xml:space="preserve">CAGR (2024-2033):</w:t>
      </w:r>
      <w:r>
        <w:t xml:space="preserve"> </w:t>
      </w:r>
      <w:r>
        <w:t xml:space="preserve">11.90% [1]</w:t>
      </w:r>
    </w:p>
    <w:bookmarkEnd w:id="36"/>
    <w:bookmarkStart w:id="37" w:name="regional-market-share-2023"/>
    <w:p>
      <w:pPr>
        <w:pStyle w:val="Heading1"/>
      </w:pPr>
      <w:r>
        <w:rPr>
          <w:b/>
          <w:bCs/>
        </w:rPr>
        <w:t xml:space="preserve">Regional Market Share (2023)</w:t>
      </w:r>
    </w:p>
    <w:p>
      <w:pPr>
        <w:pStyle w:val="Compact"/>
        <w:numPr>
          <w:ilvl w:val="0"/>
          <w:numId w:val="1014"/>
        </w:numPr>
      </w:pPr>
      <w:r>
        <w:rPr>
          <w:b/>
          <w:bCs/>
        </w:rPr>
        <w:t xml:space="preserve">North America:</w:t>
      </w:r>
      <w:r>
        <w:t xml:space="preserve"> </w:t>
      </w:r>
      <w:r>
        <w:t xml:space="preserve">Dominated the global biotechnology market with revenue share [1]</w:t>
      </w:r>
    </w:p>
    <w:bookmarkEnd w:id="37"/>
    <w:bookmarkStart w:id="43" w:name="growth-factors"/>
    <w:p>
      <w:pPr>
        <w:pStyle w:val="Heading1"/>
      </w:pPr>
      <w:r>
        <w:rPr>
          <w:b/>
          <w:bCs/>
        </w:rPr>
        <w:t xml:space="preserve">Growth Factors</w:t>
      </w:r>
    </w:p>
    <w:p>
      <w:pPr>
        <w:pStyle w:val="Compact"/>
        <w:numPr>
          <w:ilvl w:val="0"/>
          <w:numId w:val="1015"/>
        </w:numPr>
      </w:pPr>
      <w:r>
        <w:t xml:space="preserve">Improvement of healthcare infrastructure</w:t>
      </w:r>
    </w:p>
    <w:p>
      <w:pPr>
        <w:pStyle w:val="Compact"/>
        <w:numPr>
          <w:ilvl w:val="0"/>
          <w:numId w:val="1015"/>
        </w:numPr>
      </w:pPr>
      <w:r>
        <w:t xml:space="preserve">Clinical trial services</w:t>
      </w:r>
    </w:p>
    <w:p>
      <w:pPr>
        <w:pStyle w:val="Compact"/>
        <w:numPr>
          <w:ilvl w:val="0"/>
          <w:numId w:val="1015"/>
        </w:numPr>
      </w:pPr>
      <w:r>
        <w:t xml:space="preserve">Supportive government regulations (especially in Asia-Pacific region) [1]</w:t>
      </w:r>
    </w:p>
    <w:p>
      <w:pPr>
        <w:pStyle w:val="FirstParagraph"/>
      </w:pPr>
      <w:r>
        <w:rPr>
          <w:b/>
          <w:bCs/>
        </w:rPr>
        <w:t xml:space="preserve">Source:</w:t>
      </w:r>
      <w:r>
        <w:t xml:space="preserve"> </w:t>
      </w:r>
      <w:r>
        <w:t xml:space="preserve">[1] Precedence Research. (n.d.). Biotechnology Market Size, Share, and Trends 2024 to 2033. Retrieved from</w:t>
      </w:r>
      <w:r>
        <w:t xml:space="preserve"> </w:t>
      </w:r>
      <w:hyperlink r:id="rId38">
        <w:r>
          <w:rPr>
            <w:rStyle w:val="Hyperlink"/>
          </w:rPr>
          <w:t xml:space="preserve">https://www.precedenceresearch.com/biotechnology-market</w:t>
        </w:r>
      </w:hyperlink>
    </w:p>
    <w:p>
      <w:pPr>
        <w:pStyle w:val="BodyText"/>
      </w:pPr>
      <w:r>
        <w:t xml:space="preserve">Note: The source link is cited from the provided context, which is a report from Precedence Research.</w:t>
      </w:r>
    </w:p>
    <w:bookmarkStart w:id="39" w:name="Xeac0ec6127cff8d9793cc6615d8bc0c4adaad19"/>
    <w:p>
      <w:pPr>
        <w:pStyle w:val="Heading3"/>
      </w:pPr>
      <w:r>
        <w:t xml:space="preserve">Comparative Analysis of Top 10 Key Competitors in Indian Biotech Industry</w:t>
      </w:r>
    </w:p>
    <w:tbl>
      <w:tblPr>
        <w:tblStyle w:val="Table"/>
        <w:tblW w:type="pct" w:w="5000"/>
        <w:tblLayout w:type="fixed"/>
        <w:tblLook w:firstRow="1" w:lastRow="0" w:firstColumn="0" w:lastColumn="0" w:noHBand="0" w:noVBand="0" w:val="0020"/>
      </w:tblPr>
      <w:tblGrid>
        <w:gridCol w:w="1270"/>
        <w:gridCol w:w="747"/>
        <w:gridCol w:w="933"/>
        <w:gridCol w:w="784"/>
        <w:gridCol w:w="1008"/>
        <w:gridCol w:w="971"/>
        <w:gridCol w:w="1008"/>
        <w:gridCol w:w="1195"/>
      </w:tblGrid>
      <w:tr>
        <w:trPr>
          <w:tblHeader w:val="on"/>
        </w:trPr>
        <w:tc>
          <w:tcPr/>
          <w:p>
            <w:pPr>
              <w:pStyle w:val="Compact"/>
              <w:jc w:val="left"/>
            </w:pPr>
            <w:r>
              <w:rPr>
                <w:b/>
                <w:bCs/>
              </w:rPr>
              <w:t xml:space="preserve">Company</w:t>
            </w:r>
          </w:p>
        </w:tc>
        <w:tc>
          <w:tcPr/>
          <w:p>
            <w:pPr>
              <w:pStyle w:val="Compact"/>
              <w:jc w:val="left"/>
            </w:pPr>
            <w:r>
              <w:rPr>
                <w:b/>
                <w:bCs/>
              </w:rPr>
              <w:t xml:space="preserve">R&amp;D Investment</w:t>
            </w:r>
          </w:p>
        </w:tc>
        <w:tc>
          <w:tcPr/>
          <w:p>
            <w:pPr>
              <w:pStyle w:val="Compact"/>
              <w:jc w:val="left"/>
            </w:pPr>
            <w:r>
              <w:rPr>
                <w:b/>
                <w:bCs/>
              </w:rPr>
              <w:t xml:space="preserve">Innovative Products</w:t>
            </w:r>
          </w:p>
        </w:tc>
        <w:tc>
          <w:tcPr/>
          <w:p>
            <w:pPr>
              <w:pStyle w:val="Compact"/>
              <w:jc w:val="left"/>
            </w:pPr>
            <w:r>
              <w:rPr>
                <w:b/>
                <w:bCs/>
              </w:rPr>
              <w:t xml:space="preserve">Clinical Trials</w:t>
            </w:r>
          </w:p>
        </w:tc>
        <w:tc>
          <w:tcPr/>
          <w:p>
            <w:pPr>
              <w:pStyle w:val="Compact"/>
              <w:jc w:val="left"/>
            </w:pPr>
            <w:r>
              <w:rPr>
                <w:b/>
                <w:bCs/>
              </w:rPr>
              <w:t xml:space="preserve">Global Collaborations</w:t>
            </w:r>
          </w:p>
        </w:tc>
        <w:tc>
          <w:tcPr/>
          <w:p>
            <w:pPr>
              <w:pStyle w:val="Compact"/>
              <w:jc w:val="left"/>
            </w:pPr>
            <w:r>
              <w:rPr>
                <w:b/>
                <w:bCs/>
              </w:rPr>
              <w:t xml:space="preserve">Regulatory Approvals</w:t>
            </w:r>
          </w:p>
        </w:tc>
        <w:tc>
          <w:tcPr/>
          <w:p>
            <w:pPr>
              <w:pStyle w:val="Compact"/>
              <w:jc w:val="left"/>
            </w:pPr>
            <w:r>
              <w:rPr>
                <w:b/>
                <w:bCs/>
              </w:rPr>
              <w:t xml:space="preserve">Employee Satisfaction</w:t>
            </w:r>
          </w:p>
        </w:tc>
        <w:tc>
          <w:tcPr/>
          <w:p>
            <w:pPr>
              <w:pStyle w:val="Compact"/>
              <w:jc w:val="left"/>
            </w:pPr>
            <w:r>
              <w:rPr>
                <w:b/>
                <w:bCs/>
              </w:rPr>
              <w:t xml:space="preserve">Sustainability Initiatives</w:t>
            </w:r>
          </w:p>
        </w:tc>
      </w:tr>
      <w:tr>
        <w:tc>
          <w:tcPr/>
          <w:p>
            <w:pPr>
              <w:pStyle w:val="Compact"/>
              <w:jc w:val="left"/>
            </w:pPr>
            <w:r>
              <w:rPr>
                <w:b/>
                <w:bCs/>
              </w:rPr>
              <w:t xml:space="preserve">Biocon</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50+</w:t>
            </w:r>
          </w:p>
        </w:tc>
        <w:tc>
          <w:tcPr/>
          <w:p>
            <w:pPr>
              <w:pStyle w:val="Compact"/>
              <w:jc w:val="left"/>
            </w:pPr>
            <w:r>
              <w:t xml:space="preserve">Extensive</w:t>
            </w:r>
          </w:p>
        </w:tc>
        <w:tc>
          <w:tcPr/>
          <w:p>
            <w:pPr>
              <w:pStyle w:val="Compact"/>
              <w:jc w:val="left"/>
            </w:pPr>
            <w:r>
              <w:t xml:space="preserve">Numerous</w:t>
            </w:r>
          </w:p>
        </w:tc>
        <w:tc>
          <w:tcPr/>
          <w:p>
            <w:pPr>
              <w:pStyle w:val="Compact"/>
              <w:jc w:val="left"/>
            </w:pPr>
            <w:r>
              <w:t xml:space="preserve">High</w:t>
            </w:r>
          </w:p>
        </w:tc>
        <w:tc>
          <w:tcPr/>
          <w:p>
            <w:pPr>
              <w:pStyle w:val="Compact"/>
              <w:jc w:val="left"/>
            </w:pPr>
            <w:r>
              <w:t xml:space="preserve">Strong</w:t>
            </w:r>
          </w:p>
        </w:tc>
      </w:tr>
      <w:tr>
        <w:tc>
          <w:tcPr/>
          <w:p>
            <w:pPr>
              <w:pStyle w:val="Compact"/>
              <w:jc w:val="left"/>
            </w:pPr>
            <w:r>
              <w:rPr>
                <w:b/>
                <w:bCs/>
              </w:rPr>
              <w:t xml:space="preserve">Dr. Reddy’s Laboratories</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40+</w:t>
            </w:r>
          </w:p>
        </w:tc>
        <w:tc>
          <w:tcPr/>
          <w:p>
            <w:pPr>
              <w:pStyle w:val="Compact"/>
              <w:jc w:val="left"/>
            </w:pPr>
            <w:r>
              <w:t xml:space="preserve">Extensive</w:t>
            </w:r>
          </w:p>
        </w:tc>
        <w:tc>
          <w:tcPr/>
          <w:p>
            <w:pPr>
              <w:pStyle w:val="Compact"/>
              <w:jc w:val="left"/>
            </w:pPr>
            <w:r>
              <w:t xml:space="preserve">Numerous</w:t>
            </w:r>
          </w:p>
        </w:tc>
        <w:tc>
          <w:tcPr/>
          <w:p>
            <w:pPr>
              <w:pStyle w:val="Compact"/>
              <w:jc w:val="left"/>
            </w:pPr>
            <w:r>
              <w:t xml:space="preserve">Medium</w:t>
            </w:r>
          </w:p>
        </w:tc>
        <w:tc>
          <w:tcPr/>
          <w:p>
            <w:pPr>
              <w:pStyle w:val="Compact"/>
              <w:jc w:val="left"/>
            </w:pPr>
            <w:r>
              <w:t xml:space="preserve">Moderate</w:t>
            </w:r>
          </w:p>
        </w:tc>
      </w:tr>
      <w:tr>
        <w:tc>
          <w:tcPr/>
          <w:p>
            <w:pPr>
              <w:pStyle w:val="Compact"/>
              <w:jc w:val="left"/>
            </w:pPr>
            <w:r>
              <w:rPr>
                <w:b/>
                <w:bCs/>
              </w:rPr>
              <w:t xml:space="preserve">Sun Pharma</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30+</w:t>
            </w:r>
          </w:p>
        </w:tc>
        <w:tc>
          <w:tcPr/>
          <w:p>
            <w:pPr>
              <w:pStyle w:val="Compact"/>
              <w:jc w:val="left"/>
            </w:pPr>
            <w:r>
              <w:t xml:space="preserve">Moderate</w:t>
            </w:r>
          </w:p>
        </w:tc>
        <w:tc>
          <w:tcPr/>
          <w:p>
            <w:pPr>
              <w:pStyle w:val="Compact"/>
              <w:jc w:val="left"/>
            </w:pPr>
            <w:r>
              <w:t xml:space="preserve">Numerous</w:t>
            </w:r>
          </w:p>
        </w:tc>
        <w:tc>
          <w:tcPr/>
          <w:p>
            <w:pPr>
              <w:pStyle w:val="Compact"/>
              <w:jc w:val="left"/>
            </w:pPr>
            <w:r>
              <w:t xml:space="preserve">Medium</w:t>
            </w:r>
          </w:p>
        </w:tc>
        <w:tc>
          <w:tcPr/>
          <w:p>
            <w:pPr>
              <w:pStyle w:val="Compact"/>
              <w:jc w:val="left"/>
            </w:pPr>
            <w:r>
              <w:t xml:space="preserve">Moderate</w:t>
            </w:r>
          </w:p>
        </w:tc>
      </w:tr>
      <w:tr>
        <w:tc>
          <w:tcPr/>
          <w:p>
            <w:pPr>
              <w:pStyle w:val="Compact"/>
              <w:jc w:val="left"/>
            </w:pPr>
            <w:r>
              <w:rPr>
                <w:b/>
                <w:bCs/>
              </w:rPr>
              <w:t xml:space="preserve">Cipla</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20+</w:t>
            </w:r>
          </w:p>
        </w:tc>
        <w:tc>
          <w:tcPr/>
          <w:p>
            <w:pPr>
              <w:pStyle w:val="Compact"/>
              <w:jc w:val="left"/>
            </w:pPr>
            <w:r>
              <w:t xml:space="preserve">Moderate</w:t>
            </w:r>
          </w:p>
        </w:tc>
        <w:tc>
          <w:tcPr/>
          <w:p>
            <w:pPr>
              <w:pStyle w:val="Compact"/>
              <w:jc w:val="left"/>
            </w:pPr>
            <w:r>
              <w:t xml:space="preserve">Numerous</w:t>
            </w:r>
          </w:p>
        </w:tc>
        <w:tc>
          <w:tcPr/>
          <w:p>
            <w:pPr>
              <w:pStyle w:val="Compact"/>
              <w:jc w:val="left"/>
            </w:pPr>
            <w:r>
              <w:t xml:space="preserve">High</w:t>
            </w:r>
          </w:p>
        </w:tc>
        <w:tc>
          <w:tcPr/>
          <w:p>
            <w:pPr>
              <w:pStyle w:val="Compact"/>
              <w:jc w:val="left"/>
            </w:pPr>
            <w:r>
              <w:t xml:space="preserve">Strong</w:t>
            </w:r>
          </w:p>
        </w:tc>
      </w:tr>
      <w:tr>
        <w:tc>
          <w:tcPr/>
          <w:p>
            <w:pPr>
              <w:pStyle w:val="Compact"/>
              <w:jc w:val="left"/>
            </w:pPr>
            <w:r>
              <w:rPr>
                <w:b/>
                <w:bCs/>
              </w:rPr>
              <w:t xml:space="preserve">Glenmark Pharmaceuticals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25+</w:t>
            </w:r>
          </w:p>
        </w:tc>
        <w:tc>
          <w:tcPr/>
          <w:p>
            <w:pPr>
              <w:pStyle w:val="Compact"/>
              <w:jc w:val="left"/>
            </w:pPr>
            <w:r>
              <w:t xml:space="preserve">Moderate</w:t>
            </w:r>
          </w:p>
        </w:tc>
        <w:tc>
          <w:tcPr/>
          <w:p>
            <w:pPr>
              <w:pStyle w:val="Compact"/>
              <w:jc w:val="left"/>
            </w:pPr>
            <w:r>
              <w:t xml:space="preserve">Numerous</w:t>
            </w:r>
          </w:p>
        </w:tc>
        <w:tc>
          <w:tcPr/>
          <w:p>
            <w:pPr>
              <w:pStyle w:val="Compact"/>
              <w:jc w:val="left"/>
            </w:pPr>
            <w:r>
              <w:t xml:space="preserve">Medium</w:t>
            </w:r>
          </w:p>
        </w:tc>
        <w:tc>
          <w:tcPr/>
          <w:p>
            <w:pPr>
              <w:pStyle w:val="Compact"/>
              <w:jc w:val="left"/>
            </w:pPr>
            <w:r>
              <w:t xml:space="preserve">Moderate</w:t>
            </w:r>
          </w:p>
        </w:tc>
      </w:tr>
      <w:tr>
        <w:tc>
          <w:tcPr/>
          <w:p>
            <w:pPr>
              <w:pStyle w:val="Compact"/>
              <w:jc w:val="left"/>
            </w:pPr>
            <w:r>
              <w:rPr>
                <w:b/>
                <w:bCs/>
              </w:rPr>
              <w:t xml:space="preserve">Serum Institute of India</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60+</w:t>
            </w:r>
          </w:p>
        </w:tc>
        <w:tc>
          <w:tcPr/>
          <w:p>
            <w:pPr>
              <w:pStyle w:val="Compact"/>
              <w:jc w:val="left"/>
            </w:pPr>
            <w:r>
              <w:t xml:space="preserve">Extensive</w:t>
            </w:r>
          </w:p>
        </w:tc>
        <w:tc>
          <w:tcPr/>
          <w:p>
            <w:pPr>
              <w:pStyle w:val="Compact"/>
              <w:jc w:val="left"/>
            </w:pPr>
            <w:r>
              <w:t xml:space="preserve">Numerous</w:t>
            </w:r>
          </w:p>
        </w:tc>
        <w:tc>
          <w:tcPr/>
          <w:p>
            <w:pPr>
              <w:pStyle w:val="Compact"/>
              <w:jc w:val="left"/>
            </w:pPr>
            <w:r>
              <w:t xml:space="preserve">High</w:t>
            </w:r>
          </w:p>
        </w:tc>
        <w:tc>
          <w:tcPr/>
          <w:p>
            <w:pPr>
              <w:pStyle w:val="Compact"/>
              <w:jc w:val="left"/>
            </w:pPr>
            <w:r>
              <w:t xml:space="preserve">Strong</w:t>
            </w:r>
          </w:p>
        </w:tc>
      </w:tr>
      <w:tr>
        <w:tc>
          <w:tcPr/>
          <w:p>
            <w:pPr>
              <w:pStyle w:val="Compact"/>
              <w:jc w:val="left"/>
            </w:pPr>
            <w:r>
              <w:rPr>
                <w:b/>
                <w:bCs/>
              </w:rPr>
              <w:t xml:space="preserve">Panacea Biotec</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15+</w:t>
            </w:r>
          </w:p>
        </w:tc>
        <w:tc>
          <w:tcPr/>
          <w:p>
            <w:pPr>
              <w:pStyle w:val="Compact"/>
              <w:jc w:val="left"/>
            </w:pPr>
            <w:r>
              <w:t xml:space="preserve">Moderate</w:t>
            </w:r>
          </w:p>
        </w:tc>
        <w:tc>
          <w:tcPr/>
          <w:p>
            <w:pPr>
              <w:pStyle w:val="Compact"/>
              <w:jc w:val="left"/>
            </w:pPr>
            <w:r>
              <w:t xml:space="preserve">Numerous</w:t>
            </w:r>
          </w:p>
        </w:tc>
        <w:tc>
          <w:tcPr/>
          <w:p>
            <w:pPr>
              <w:pStyle w:val="Compact"/>
              <w:jc w:val="left"/>
            </w:pPr>
            <w:r>
              <w:t xml:space="preserve">Medium</w:t>
            </w:r>
          </w:p>
        </w:tc>
        <w:tc>
          <w:tcPr/>
          <w:p>
            <w:pPr>
              <w:pStyle w:val="Compact"/>
              <w:jc w:val="left"/>
            </w:pPr>
            <w:r>
              <w:t xml:space="preserve">Moderate</w:t>
            </w:r>
          </w:p>
        </w:tc>
      </w:tr>
      <w:tr>
        <w:tc>
          <w:tcPr/>
          <w:p>
            <w:pPr>
              <w:pStyle w:val="Compact"/>
              <w:jc w:val="left"/>
            </w:pPr>
            <w:r>
              <w:rPr>
                <w:b/>
                <w:bCs/>
              </w:rPr>
              <w:t xml:space="preserve">Jubilant Life Sciences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30+</w:t>
            </w:r>
          </w:p>
        </w:tc>
        <w:tc>
          <w:tcPr/>
          <w:p>
            <w:pPr>
              <w:pStyle w:val="Compact"/>
              <w:jc w:val="left"/>
            </w:pPr>
            <w:r>
              <w:t xml:space="preserve">Moderate</w:t>
            </w:r>
          </w:p>
        </w:tc>
        <w:tc>
          <w:tcPr/>
          <w:p>
            <w:pPr>
              <w:pStyle w:val="Compact"/>
              <w:jc w:val="left"/>
            </w:pPr>
            <w:r>
              <w:t xml:space="preserve">Numerous</w:t>
            </w:r>
          </w:p>
        </w:tc>
        <w:tc>
          <w:tcPr/>
          <w:p>
            <w:pPr>
              <w:pStyle w:val="Compact"/>
              <w:jc w:val="left"/>
            </w:pPr>
            <w:r>
              <w:t xml:space="preserve">Medium</w:t>
            </w:r>
          </w:p>
        </w:tc>
        <w:tc>
          <w:tcPr/>
          <w:p>
            <w:pPr>
              <w:pStyle w:val="Compact"/>
              <w:jc w:val="left"/>
            </w:pPr>
            <w:r>
              <w:t xml:space="preserve">Moderate</w:t>
            </w:r>
          </w:p>
        </w:tc>
      </w:tr>
      <w:tr>
        <w:tc>
          <w:tcPr/>
          <w:p>
            <w:pPr>
              <w:pStyle w:val="Compact"/>
              <w:jc w:val="left"/>
            </w:pPr>
            <w:r>
              <w:rPr>
                <w:b/>
                <w:bCs/>
              </w:rPr>
              <w:t xml:space="preserve">Wockhardt</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20+</w:t>
            </w:r>
          </w:p>
        </w:tc>
        <w:tc>
          <w:tcPr/>
          <w:p>
            <w:pPr>
              <w:pStyle w:val="Compact"/>
              <w:jc w:val="left"/>
            </w:pPr>
            <w:r>
              <w:t xml:space="preserve">Moderate</w:t>
            </w:r>
          </w:p>
        </w:tc>
        <w:tc>
          <w:tcPr/>
          <w:p>
            <w:pPr>
              <w:pStyle w:val="Compact"/>
              <w:jc w:val="left"/>
            </w:pPr>
            <w:r>
              <w:t xml:space="preserve">Numerous</w:t>
            </w:r>
          </w:p>
        </w:tc>
        <w:tc>
          <w:tcPr/>
          <w:p>
            <w:pPr>
              <w:pStyle w:val="Compact"/>
              <w:jc w:val="left"/>
            </w:pPr>
            <w:r>
              <w:t xml:space="preserve">Medium</w:t>
            </w:r>
          </w:p>
        </w:tc>
        <w:tc>
          <w:tcPr/>
          <w:p>
            <w:pPr>
              <w:pStyle w:val="Compact"/>
              <w:jc w:val="left"/>
            </w:pPr>
            <w:r>
              <w:t xml:space="preserve">Moderate</w:t>
            </w:r>
          </w:p>
        </w:tc>
      </w:tr>
      <w:tr>
        <w:tc>
          <w:tcPr/>
          <w:p>
            <w:pPr>
              <w:pStyle w:val="Compact"/>
              <w:jc w:val="left"/>
            </w:pPr>
            <w:r>
              <w:rPr>
                <w:b/>
                <w:bCs/>
              </w:rPr>
              <w:t xml:space="preserve">Lupin Ltd.</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25+</w:t>
            </w:r>
          </w:p>
        </w:tc>
        <w:tc>
          <w:tcPr/>
          <w:p>
            <w:pPr>
              <w:pStyle w:val="Compact"/>
              <w:jc w:val="left"/>
            </w:pPr>
            <w:r>
              <w:t xml:space="preserve">Moderate</w:t>
            </w:r>
          </w:p>
        </w:tc>
        <w:tc>
          <w:tcPr/>
          <w:p>
            <w:pPr>
              <w:pStyle w:val="Compact"/>
              <w:jc w:val="left"/>
            </w:pPr>
            <w:r>
              <w:t xml:space="preserve">Numerous</w:t>
            </w:r>
          </w:p>
        </w:tc>
        <w:tc>
          <w:tcPr/>
          <w:p>
            <w:pPr>
              <w:pStyle w:val="Compact"/>
              <w:jc w:val="left"/>
            </w:pPr>
            <w:r>
              <w:t xml:space="preserve">Medium</w:t>
            </w:r>
          </w:p>
        </w:tc>
        <w:tc>
          <w:tcPr/>
          <w:p>
            <w:pPr>
              <w:pStyle w:val="Compact"/>
              <w:jc w:val="left"/>
            </w:pPr>
            <w:r>
              <w:t xml:space="preserve">Moderate</w:t>
            </w:r>
          </w:p>
        </w:tc>
      </w:tr>
    </w:tbl>
    <w:bookmarkEnd w:id="39"/>
    <w:bookmarkStart w:id="42" w:name="key-insights"/>
    <w:p>
      <w:pPr>
        <w:pStyle w:val="Heading3"/>
      </w:pPr>
      <w:r>
        <w:t xml:space="preserve">Key Insights</w:t>
      </w:r>
    </w:p>
    <w:p>
      <w:pPr>
        <w:pStyle w:val="Compact"/>
        <w:numPr>
          <w:ilvl w:val="0"/>
          <w:numId w:val="1016"/>
        </w:numPr>
      </w:pPr>
      <w:r>
        <w:rPr>
          <w:b/>
          <w:bCs/>
        </w:rPr>
        <w:t xml:space="preserve">R&amp;D Investment</w:t>
      </w:r>
      <w:r>
        <w:t xml:space="preserve">: Companies such as Biocon, Dr. Reddy’s Laboratories, and Serum Institute of India are leading in R&amp;D investments, which is critical for continuous innovation and development of new biotechnology solutions.</w:t>
      </w:r>
    </w:p>
    <w:p>
      <w:pPr>
        <w:pStyle w:val="Compact"/>
        <w:numPr>
          <w:ilvl w:val="0"/>
          <w:numId w:val="1016"/>
        </w:numPr>
      </w:pPr>
      <w:r>
        <w:rPr>
          <w:b/>
          <w:bCs/>
        </w:rPr>
        <w:t xml:space="preserve">Innovative Products</w:t>
      </w:r>
      <w:r>
        <w:t xml:space="preserve">: Biocon and Serum Institute of India top the list in terms of innovative products, indicating a strong pipeline of new drugs and therapies.</w:t>
      </w:r>
    </w:p>
    <w:p>
      <w:pPr>
        <w:pStyle w:val="Compact"/>
        <w:numPr>
          <w:ilvl w:val="0"/>
          <w:numId w:val="1016"/>
        </w:numPr>
      </w:pPr>
      <w:r>
        <w:rPr>
          <w:b/>
          <w:bCs/>
        </w:rPr>
        <w:t xml:space="preserve">Clinical Trials</w:t>
      </w:r>
      <w:r>
        <w:t xml:space="preserve">: Serum Institute of India and Biocon conduct the highest number of clinical trials, showcasing their focus on extensive research and product testing.</w:t>
      </w:r>
    </w:p>
    <w:p>
      <w:pPr>
        <w:pStyle w:val="Compact"/>
        <w:numPr>
          <w:ilvl w:val="0"/>
          <w:numId w:val="1016"/>
        </w:numPr>
      </w:pPr>
      <w:r>
        <w:rPr>
          <w:b/>
          <w:bCs/>
        </w:rPr>
        <w:t xml:space="preserve">Global Collaborations</w:t>
      </w:r>
      <w:r>
        <w:t xml:space="preserve">: Biocon and Dr. Reddy’s Laboratories have extensive global collaborations, enabling them to leverage international expertise and market reach.</w:t>
      </w:r>
    </w:p>
    <w:p>
      <w:pPr>
        <w:pStyle w:val="Compact"/>
        <w:numPr>
          <w:ilvl w:val="0"/>
          <w:numId w:val="1016"/>
        </w:numPr>
      </w:pPr>
      <w:r>
        <w:rPr>
          <w:b/>
          <w:bCs/>
        </w:rPr>
        <w:t xml:space="preserve">Regulatory Approvals</w:t>
      </w:r>
      <w:r>
        <w:t xml:space="preserve">: All top competitors have numerous regulatory approvals, reflecting their compliance with international standards and ability to bring products to market efficiently.</w:t>
      </w:r>
    </w:p>
    <w:p>
      <w:pPr>
        <w:pStyle w:val="Compact"/>
        <w:numPr>
          <w:ilvl w:val="0"/>
          <w:numId w:val="1016"/>
        </w:numPr>
      </w:pPr>
      <w:r>
        <w:rPr>
          <w:b/>
          <w:bCs/>
        </w:rPr>
        <w:t xml:space="preserve">Employee Satisfaction</w:t>
      </w:r>
      <w:r>
        <w:t xml:space="preserve">: Biocon, Cipla, and Serum Institute of India have high employee satisfaction, which is crucial for retaining top talent and fostering a productive work environment.</w:t>
      </w:r>
    </w:p>
    <w:p>
      <w:pPr>
        <w:pStyle w:val="Compact"/>
        <w:numPr>
          <w:ilvl w:val="0"/>
          <w:numId w:val="1016"/>
        </w:numPr>
      </w:pPr>
      <w:r>
        <w:rPr>
          <w:b/>
          <w:bCs/>
        </w:rPr>
        <w:t xml:space="preserve">Sustainability Initiatives</w:t>
      </w:r>
      <w:r>
        <w:t xml:space="preserve">: Companies like Biocon, Cipla, and Serum Institute of India lead in sustainability initiatives, aligning their operations with global environmental standards.</w:t>
      </w:r>
    </w:p>
    <w:p>
      <w:pPr>
        <w:pStyle w:val="FirstParagraph"/>
      </w:pPr>
      <w:r>
        <w:rPr>
          <w:b/>
          <w:bCs/>
        </w:rPr>
        <w:t xml:space="preserve">Sources:</w:t>
      </w:r>
    </w:p>
    <w:p>
      <w:pPr>
        <w:pStyle w:val="Compact"/>
        <w:numPr>
          <w:ilvl w:val="0"/>
          <w:numId w:val="1017"/>
        </w:numPr>
      </w:pPr>
      <w:hyperlink r:id="rId40">
        <w:r>
          <w:rPr>
            <w:rStyle w:val="Hyperlink"/>
          </w:rPr>
          <w:t xml:space="preserve">Invest India - Biotechnology Industry in India</w:t>
        </w:r>
      </w:hyperlink>
    </w:p>
    <w:p>
      <w:pPr>
        <w:pStyle w:val="Compact"/>
        <w:numPr>
          <w:ilvl w:val="0"/>
          <w:numId w:val="1017"/>
        </w:numPr>
      </w:pPr>
      <w:hyperlink r:id="rId41">
        <w:r>
          <w:rPr>
            <w:rStyle w:val="Hyperlink"/>
          </w:rPr>
          <w:t xml:space="preserve">Glassdoor - Top Pharmaceutical and Biotechnology Companies</w:t>
        </w:r>
      </w:hyperlink>
    </w:p>
    <w:p>
      <w:pPr>
        <w:pStyle w:val="FirstParagraph"/>
      </w:pPr>
      <w:r>
        <w:t xml:space="preserve">Here are the latest news in biotech from Bloomberg in markdown lists with cited links and sources:</w:t>
      </w:r>
    </w:p>
    <w:bookmarkEnd w:id="42"/>
    <w:bookmarkEnd w:id="43"/>
    <w:bookmarkStart w:id="54" w:name="latest-news-in-biotech-from-bloomberg"/>
    <w:p>
      <w:pPr>
        <w:pStyle w:val="Heading1"/>
      </w:pPr>
      <w:r>
        <w:rPr>
          <w:b/>
          <w:bCs/>
        </w:rPr>
        <w:t xml:space="preserve">Latest News in Biotech from Bloomberg</w:t>
      </w:r>
    </w:p>
    <w:bookmarkStart w:id="45" w:name="Xb3a5c85af07984ab809e194dbcc50b37385c60d"/>
    <w:p>
      <w:pPr>
        <w:pStyle w:val="Heading3"/>
      </w:pPr>
      <w:r>
        <w:t xml:space="preserve">Biotech Rally Gets $100 Billion M&amp;A Lift With More Deals to Come</w:t>
      </w:r>
    </w:p>
    <w:p>
      <w:pPr>
        <w:pStyle w:val="Compact"/>
        <w:numPr>
          <w:ilvl w:val="0"/>
          <w:numId w:val="1018"/>
        </w:numPr>
      </w:pPr>
      <w:r>
        <w:t xml:space="preserve">AstraZeneca Plc’s $1 billion deal to acquire Amolyt Pharma illustrates the likelihood of more deals to come in the biotech industry. (</w:t>
      </w:r>
      <w:hyperlink r:id="rId44">
        <w:r>
          <w:rPr>
            <w:rStyle w:val="Hyperlink"/>
          </w:rPr>
          <w:t xml:space="preserve">Source</w:t>
        </w:r>
      </w:hyperlink>
      <w:r>
        <w:t xml:space="preserve">)</w:t>
      </w:r>
    </w:p>
    <w:bookmarkEnd w:id="45"/>
    <w:bookmarkStart w:id="47" w:name="biotech-company-profile-and-news"/>
    <w:p>
      <w:pPr>
        <w:pStyle w:val="Heading3"/>
      </w:pPr>
      <w:r>
        <w:t xml:space="preserve">Biotech Company Profile and News</w:t>
      </w:r>
    </w:p>
    <w:p>
      <w:pPr>
        <w:pStyle w:val="Compact"/>
        <w:numPr>
          <w:ilvl w:val="0"/>
          <w:numId w:val="1019"/>
        </w:numPr>
      </w:pPr>
      <w:r>
        <w:t xml:space="preserve">Company profile page for Biotech including stock price, company news, executives, board members, and contact information. (</w:t>
      </w:r>
      <w:hyperlink r:id="rId46">
        <w:r>
          <w:rPr>
            <w:rStyle w:val="Hyperlink"/>
          </w:rPr>
          <w:t xml:space="preserve">Source</w:t>
        </w:r>
      </w:hyperlink>
      <w:r>
        <w:t xml:space="preserve">)</w:t>
      </w:r>
    </w:p>
    <w:bookmarkEnd w:id="47"/>
    <w:bookmarkStart w:id="49" w:name="biotech-and-pharma-industry-news"/>
    <w:p>
      <w:pPr>
        <w:pStyle w:val="Heading3"/>
      </w:pPr>
      <w:r>
        <w:t xml:space="preserve">Biotech and Pharma Industry News</w:t>
      </w:r>
    </w:p>
    <w:p>
      <w:pPr>
        <w:pStyle w:val="Compact"/>
        <w:numPr>
          <w:ilvl w:val="0"/>
          <w:numId w:val="1020"/>
        </w:numPr>
      </w:pPr>
      <w:r>
        <w:t xml:space="preserve">BioPharma Dive provides news and analysis for biotech and biopharmaceutical executives, covering topics like clinical trials, drug discovery and development, pharma marketing, FDA approvals and regulations, and more. (</w:t>
      </w:r>
      <w:hyperlink r:id="rId48">
        <w:r>
          <w:rPr>
            <w:rStyle w:val="Hyperlink"/>
          </w:rPr>
          <w:t xml:space="preserve">Source</w:t>
        </w:r>
      </w:hyperlink>
      <w:r>
        <w:t xml:space="preserve">)</w:t>
      </w:r>
    </w:p>
    <w:bookmarkEnd w:id="49"/>
    <w:bookmarkStart w:id="51" w:name="X0055677d036a702c1457bfccb2e5405a062072a"/>
    <w:p>
      <w:pPr>
        <w:pStyle w:val="Heading3"/>
      </w:pPr>
      <w:r>
        <w:t xml:space="preserve">Biotech IPOs Jump More Than 20% as Momentum Builds for Listings</w:t>
      </w:r>
    </w:p>
    <w:p>
      <w:pPr>
        <w:pStyle w:val="Compact"/>
        <w:numPr>
          <w:ilvl w:val="0"/>
          <w:numId w:val="1021"/>
        </w:numPr>
      </w:pPr>
      <w:r>
        <w:t xml:space="preserve">Drug developers are capitalizing on the industry’s momentum by tapping public investors for the first time, as corporate takeovers and a welcoming market lift optimism about biotechnology. (</w:t>
      </w:r>
      <w:hyperlink r:id="rId50">
        <w:r>
          <w:rPr>
            <w:rStyle w:val="Hyperlink"/>
          </w:rPr>
          <w:t xml:space="preserve">Source</w:t>
        </w:r>
      </w:hyperlink>
      <w:r>
        <w:t xml:space="preserve">)</w:t>
      </w:r>
    </w:p>
    <w:bookmarkEnd w:id="51"/>
    <w:bookmarkStart w:id="53" w:name="Xa24158de761a87ecbc580cc4657c2abcacac46e"/>
    <w:p>
      <w:pPr>
        <w:pStyle w:val="Heading3"/>
      </w:pPr>
      <w:r>
        <w:t xml:space="preserve">Investing in Biopharma Innovation: Can You Stay One Step Ahead?</w:t>
      </w:r>
    </w:p>
    <w:p>
      <w:pPr>
        <w:pStyle w:val="Compact"/>
        <w:numPr>
          <w:ilvl w:val="0"/>
          <w:numId w:val="1022"/>
        </w:numPr>
      </w:pPr>
      <w:r>
        <w:t xml:space="preserve">The biotech sector has been experiencing a recovery since hitting a low point in October 2023, driven by an upturn in deal-making post COVID pandemic, and the prospect of interest rate cuts. (</w:t>
      </w:r>
      <w:hyperlink r:id="rId52">
        <w:r>
          <w:rPr>
            <w:rStyle w:val="Hyperlink"/>
          </w:rPr>
          <w:t xml:space="preserve">Source</w:t>
        </w:r>
      </w:hyperlink>
      <w:r>
        <w:t xml:space="preserve">)</w:t>
      </w:r>
    </w:p>
    <w:p>
      <w:pPr>
        <w:pStyle w:val="FirstParagraph"/>
      </w:pPr>
      <w:r>
        <w:t xml:space="preserve">Here are the top 5 predictions in lists markdowns of biotech aligning with your company’s value proposition:</w:t>
      </w:r>
    </w:p>
    <w:bookmarkEnd w:id="53"/>
    <w:bookmarkEnd w:id="54"/>
    <w:bookmarkStart w:id="55" w:name="Xce8da25182a8361464c85de588baced679463af"/>
    <w:p>
      <w:pPr>
        <w:pStyle w:val="Heading1"/>
      </w:pPr>
      <w:r>
        <w:rPr>
          <w:b/>
          <w:bCs/>
        </w:rPr>
        <w:t xml:space="preserve">Prediction 1: Personalized Medicine Revolution</w:t>
      </w:r>
    </w:p>
    <w:p>
      <w:pPr>
        <w:pStyle w:val="Compact"/>
        <w:numPr>
          <w:ilvl w:val="0"/>
          <w:numId w:val="1023"/>
        </w:numPr>
      </w:pPr>
      <w:r>
        <w:rPr>
          <w:b/>
          <w:bCs/>
        </w:rPr>
        <w:t xml:space="preserve">Targeted treatments</w:t>
      </w:r>
      <w:r>
        <w:t xml:space="preserve">: Biotech companies will develop personalized therapies tailored to individual genetic profiles, leading to more effective and efficient treatments.</w:t>
      </w:r>
    </w:p>
    <w:p>
      <w:pPr>
        <w:pStyle w:val="Compact"/>
        <w:numPr>
          <w:ilvl w:val="0"/>
          <w:numId w:val="1023"/>
        </w:numPr>
      </w:pPr>
      <w:r>
        <w:rPr>
          <w:b/>
          <w:bCs/>
        </w:rPr>
        <w:t xml:space="preserve">Genomic analysis</w:t>
      </w:r>
      <w:r>
        <w:t xml:space="preserve">: Advanced genomics and AI-powered analytics will enable precise diagnosis and treatment planning, reducing trial-and-error approaches.</w:t>
      </w:r>
    </w:p>
    <w:p>
      <w:pPr>
        <w:pStyle w:val="Compact"/>
        <w:numPr>
          <w:ilvl w:val="0"/>
          <w:numId w:val="1023"/>
        </w:numPr>
      </w:pPr>
      <w:r>
        <w:rPr>
          <w:b/>
          <w:bCs/>
        </w:rPr>
        <w:t xml:space="preserve">Value alignment</w:t>
      </w:r>
      <w:r>
        <w:t xml:space="preserve">: Our company’s value proposition, nfnvnv, will enable the development of personalized therapies that cater to individual needs, improving health outcomes and reducing healthcare costs.</w:t>
      </w:r>
    </w:p>
    <w:bookmarkEnd w:id="55"/>
    <w:bookmarkStart w:id="56" w:name="prediction-2-gene-editing-breakthroughs"/>
    <w:p>
      <w:pPr>
        <w:pStyle w:val="Heading1"/>
      </w:pPr>
      <w:r>
        <w:rPr>
          <w:b/>
          <w:bCs/>
        </w:rPr>
        <w:t xml:space="preserve">Prediction 2: Gene Editing Breakthroughs</w:t>
      </w:r>
    </w:p>
    <w:p>
      <w:pPr>
        <w:pStyle w:val="Compact"/>
        <w:numPr>
          <w:ilvl w:val="0"/>
          <w:numId w:val="1024"/>
        </w:numPr>
      </w:pPr>
      <w:r>
        <w:rPr>
          <w:b/>
          <w:bCs/>
        </w:rPr>
        <w:t xml:space="preserve">CRISPR advancements</w:t>
      </w:r>
      <w:r>
        <w:t xml:space="preserve">: Gene editing technologies like CRISPR will continue to evolve, enabling precise and efficient editing of genes to treat genetic diseases.</w:t>
      </w:r>
    </w:p>
    <w:p>
      <w:pPr>
        <w:pStyle w:val="Compact"/>
        <w:numPr>
          <w:ilvl w:val="0"/>
          <w:numId w:val="1024"/>
        </w:numPr>
      </w:pPr>
      <w:r>
        <w:rPr>
          <w:b/>
          <w:bCs/>
        </w:rPr>
        <w:t xml:space="preserve">In vivo gene editing</w:t>
      </w:r>
      <w:r>
        <w:t xml:space="preserve">: Biotech companies will develop in vivo gene editing capabilities, allowing for direct editing of genes within the body.</w:t>
      </w:r>
    </w:p>
    <w:p>
      <w:pPr>
        <w:pStyle w:val="Compact"/>
        <w:numPr>
          <w:ilvl w:val="0"/>
          <w:numId w:val="1024"/>
        </w:numPr>
      </w:pPr>
      <w:r>
        <w:rPr>
          <w:b/>
          <w:bCs/>
        </w:rPr>
        <w:t xml:space="preserve">Value alignment</w:t>
      </w:r>
      <w:r>
        <w:t xml:space="preserve">: Our company’s value proposition, nfnvnv, will facilitate the development of gene editing therapies that are safe, efficient, and accessible to a broader population.</w:t>
      </w:r>
    </w:p>
    <w:bookmarkEnd w:id="56"/>
    <w:bookmarkStart w:id="57" w:name="X05c9ed4130adc50a05c9cd49e199aa4be8a9371"/>
    <w:p>
      <w:pPr>
        <w:pStyle w:val="Heading1"/>
      </w:pPr>
      <w:r>
        <w:rPr>
          <w:b/>
          <w:bCs/>
        </w:rPr>
        <w:t xml:space="preserve">Prediction 3: Synthetic Biology Innovations</w:t>
      </w:r>
    </w:p>
    <w:p>
      <w:pPr>
        <w:pStyle w:val="Compact"/>
        <w:numPr>
          <w:ilvl w:val="0"/>
          <w:numId w:val="1025"/>
        </w:numPr>
      </w:pPr>
      <w:r>
        <w:rPr>
          <w:b/>
          <w:bCs/>
        </w:rPr>
        <w:t xml:space="preserve">Microbiome engineering</w:t>
      </w:r>
      <w:r>
        <w:t xml:space="preserve">: Biotech companies will harness the power of microbiomes to develop novel therapeutics, diagnostics, and agricultural products.</w:t>
      </w:r>
    </w:p>
    <w:p>
      <w:pPr>
        <w:pStyle w:val="Compact"/>
        <w:numPr>
          <w:ilvl w:val="0"/>
          <w:numId w:val="1025"/>
        </w:numPr>
      </w:pPr>
      <w:r>
        <w:rPr>
          <w:b/>
          <w:bCs/>
        </w:rPr>
        <w:t xml:space="preserve">Biomanufacturing</w:t>
      </w:r>
      <w:r>
        <w:t xml:space="preserve">: Synthetic biology will enable the production of complex biomolecules, such as proteins and antibodies, at scale and at lower costs.</w:t>
      </w:r>
    </w:p>
    <w:p>
      <w:pPr>
        <w:pStyle w:val="Compact"/>
        <w:numPr>
          <w:ilvl w:val="0"/>
          <w:numId w:val="1025"/>
        </w:numPr>
      </w:pPr>
      <w:r>
        <w:rPr>
          <w:b/>
          <w:bCs/>
        </w:rPr>
        <w:t xml:space="preserve">Value alignment</w:t>
      </w:r>
      <w:r>
        <w:t xml:space="preserve">: Our company’s value proposition, nfnvnv, will enable the development of synthetic biology solutions that are sustainable, efficient, and environmentally friendly.</w:t>
      </w:r>
    </w:p>
    <w:bookmarkEnd w:id="57"/>
    <w:bookmarkStart w:id="58" w:name="prediction-4-ai-driven-biotech-discovery"/>
    <w:p>
      <w:pPr>
        <w:pStyle w:val="Heading1"/>
      </w:pPr>
      <w:r>
        <w:rPr>
          <w:b/>
          <w:bCs/>
        </w:rPr>
        <w:t xml:space="preserve">Prediction 4: AI-Driven Biotech Discovery</w:t>
      </w:r>
    </w:p>
    <w:p>
      <w:pPr>
        <w:pStyle w:val="Compact"/>
        <w:numPr>
          <w:ilvl w:val="0"/>
          <w:numId w:val="1026"/>
        </w:numPr>
      </w:pPr>
      <w:r>
        <w:rPr>
          <w:b/>
          <w:bCs/>
        </w:rPr>
        <w:t xml:space="preserve">AI-powered drug discovery</w:t>
      </w:r>
      <w:r>
        <w:t xml:space="preserve">: Machine learning algorithms will accelerate the discovery of new drugs and biomarkers, reducing the time and cost of development.</w:t>
      </w:r>
    </w:p>
    <w:p>
      <w:pPr>
        <w:pStyle w:val="Compact"/>
        <w:numPr>
          <w:ilvl w:val="0"/>
          <w:numId w:val="1026"/>
        </w:numPr>
      </w:pPr>
      <w:r>
        <w:rPr>
          <w:b/>
          <w:bCs/>
        </w:rPr>
        <w:t xml:space="preserve">Predictive analytics</w:t>
      </w:r>
      <w:r>
        <w:t xml:space="preserve">: AI will enable the prediction of disease risk, diagnosis, and treatment outcomes, allowing for more informed decision-making.</w:t>
      </w:r>
    </w:p>
    <w:p>
      <w:pPr>
        <w:pStyle w:val="Compact"/>
        <w:numPr>
          <w:ilvl w:val="0"/>
          <w:numId w:val="1026"/>
        </w:numPr>
      </w:pPr>
      <w:r>
        <w:rPr>
          <w:b/>
          <w:bCs/>
        </w:rPr>
        <w:t xml:space="preserve">Value alignment</w:t>
      </w:r>
      <w:r>
        <w:t xml:space="preserve">: Our company’s value proposition, nfnvnv, will leverage AI-driven biotech discovery to develop more effective and targeted therapies, improving patient outcomes and reducing healthcare costs.</w:t>
      </w:r>
    </w:p>
    <w:bookmarkEnd w:id="58"/>
    <w:bookmarkStart w:id="59" w:name="prediction-5-digital-health-convergence"/>
    <w:p>
      <w:pPr>
        <w:pStyle w:val="Heading1"/>
      </w:pPr>
      <w:r>
        <w:rPr>
          <w:b/>
          <w:bCs/>
        </w:rPr>
        <w:t xml:space="preserve">Prediction 5: Digital Health Convergence</w:t>
      </w:r>
    </w:p>
    <w:p>
      <w:pPr>
        <w:pStyle w:val="Compact"/>
        <w:numPr>
          <w:ilvl w:val="0"/>
          <w:numId w:val="1027"/>
        </w:numPr>
      </w:pPr>
      <w:r>
        <w:rPr>
          <w:b/>
          <w:bCs/>
        </w:rPr>
        <w:t xml:space="preserve">Digital therapeutics</w:t>
      </w:r>
      <w:r>
        <w:t xml:space="preserve">: Biotech companies will develop digital therapeutics that combine software and biologics to treat diseases and improve health outcomes.</w:t>
      </w:r>
    </w:p>
    <w:p>
      <w:pPr>
        <w:pStyle w:val="Compact"/>
        <w:numPr>
          <w:ilvl w:val="0"/>
          <w:numId w:val="1027"/>
        </w:numPr>
      </w:pPr>
      <w:r>
        <w:rPr>
          <w:b/>
          <w:bCs/>
        </w:rPr>
        <w:t xml:space="preserve">Wearable devices</w:t>
      </w:r>
      <w:r>
        <w:t xml:space="preserve">: Advanced wearable devices will enable real-time monitoring and</w:t>
      </w:r>
    </w:p>
    <w:p>
      <w:pPr>
        <w:pStyle w:val="FirstParagraph"/>
      </w:pPr>
      <w:r>
        <w:t xml:space="preserve">Here are some recommendations for your company, None, in the biotech sector with a value proposition of nfnvnv to grow and beat the competitors in the industry based on the provided data:</w:t>
      </w:r>
    </w:p>
    <w:bookmarkEnd w:id="59"/>
    <w:bookmarkStart w:id="71" w:name="recommendations"/>
    <w:p>
      <w:pPr>
        <w:pStyle w:val="Heading1"/>
      </w:pPr>
      <w:r>
        <w:rPr>
          <w:b/>
          <w:bCs/>
        </w:rPr>
        <w:t xml:space="preserve">Recommendations</w:t>
      </w:r>
    </w:p>
    <w:bookmarkStart w:id="60" w:name="leverage-the-growing-biotech-market"/>
    <w:p>
      <w:pPr>
        <w:pStyle w:val="Heading3"/>
      </w:pPr>
      <w:r>
        <w:rPr>
          <w:b/>
          <w:bCs/>
        </w:rPr>
        <w:t xml:space="preserve">Leverage the Growing Biotech Market</w:t>
      </w:r>
    </w:p>
    <w:p>
      <w:pPr>
        <w:pStyle w:val="Compact"/>
        <w:numPr>
          <w:ilvl w:val="0"/>
          <w:numId w:val="1028"/>
        </w:numPr>
      </w:pPr>
      <w:r>
        <w:t xml:space="preserve">With a projected CAGR of 11.8% from 2024 to 2033, the global biotechnology market presents a significant growth opportunity for None.</w:t>
      </w:r>
    </w:p>
    <w:p>
      <w:pPr>
        <w:pStyle w:val="Compact"/>
        <w:numPr>
          <w:ilvl w:val="0"/>
          <w:numId w:val="1028"/>
        </w:numPr>
      </w:pPr>
      <w:r>
        <w:t xml:space="preserve">Focus on expanding your product/service offerings to cater to the increasing demand in the biotech industry.</w:t>
      </w:r>
    </w:p>
    <w:bookmarkEnd w:id="60"/>
    <w:bookmarkStart w:id="61" w:name="tap-into-the-u.s.-biotech-market"/>
    <w:p>
      <w:pPr>
        <w:pStyle w:val="Heading3"/>
      </w:pPr>
      <w:r>
        <w:rPr>
          <w:b/>
          <w:bCs/>
        </w:rPr>
        <w:t xml:space="preserve">Tap into the U.S. Biotech Market</w:t>
      </w:r>
    </w:p>
    <w:p>
      <w:pPr>
        <w:pStyle w:val="Compact"/>
        <w:numPr>
          <w:ilvl w:val="0"/>
          <w:numId w:val="1029"/>
        </w:numPr>
      </w:pPr>
      <w:r>
        <w:t xml:space="preserve">The U.S. biotechnology market is expected to grow at a CAGR of 11.90% from 2024 to 2033, making it an attractive market for None to explore.</w:t>
      </w:r>
    </w:p>
    <w:p>
      <w:pPr>
        <w:pStyle w:val="Compact"/>
        <w:numPr>
          <w:ilvl w:val="0"/>
          <w:numId w:val="1029"/>
        </w:numPr>
      </w:pPr>
      <w:r>
        <w:t xml:space="preserve">Consider establishing a presence in the U.S. market to tap into the growing demand for biotech products and services.</w:t>
      </w:r>
    </w:p>
    <w:bookmarkEnd w:id="61"/>
    <w:bookmarkStart w:id="62" w:name="focus-on-clinical-trial-services"/>
    <w:p>
      <w:pPr>
        <w:pStyle w:val="Heading3"/>
      </w:pPr>
      <w:r>
        <w:rPr>
          <w:b/>
          <w:bCs/>
        </w:rPr>
        <w:t xml:space="preserve">Focus on Clinical Trial Services</w:t>
      </w:r>
    </w:p>
    <w:p>
      <w:pPr>
        <w:pStyle w:val="Compact"/>
        <w:numPr>
          <w:ilvl w:val="0"/>
          <w:numId w:val="1030"/>
        </w:numPr>
      </w:pPr>
      <w:r>
        <w:t xml:space="preserve">Clinical trial services are identified as a growth factor in the biotech industry.</w:t>
      </w:r>
    </w:p>
    <w:p>
      <w:pPr>
        <w:pStyle w:val="Compact"/>
        <w:numPr>
          <w:ilvl w:val="0"/>
          <w:numId w:val="1030"/>
        </w:numPr>
      </w:pPr>
      <w:r>
        <w:t xml:space="preserve">Consider investing in clinical trial services to differentiate None from competitors and capitalize on the growing demand.</w:t>
      </w:r>
    </w:p>
    <w:bookmarkEnd w:id="62"/>
    <w:bookmarkStart w:id="63" w:name="X5d37ed11706c4d2d2d8f10f433f25765b1b1028"/>
    <w:p>
      <w:pPr>
        <w:pStyle w:val="Heading3"/>
      </w:pPr>
      <w:r>
        <w:rPr>
          <w:b/>
          <w:bCs/>
        </w:rPr>
        <w:t xml:space="preserve">Explore Opportunities in Asia-Pacific Region</w:t>
      </w:r>
    </w:p>
    <w:p>
      <w:pPr>
        <w:pStyle w:val="Compact"/>
        <w:numPr>
          <w:ilvl w:val="0"/>
          <w:numId w:val="1031"/>
        </w:numPr>
      </w:pPr>
      <w:r>
        <w:t xml:space="preserve">The Asia-Pacific region is expected to experience significant growth in the biotech industry, driven by supportive government regulations.</w:t>
      </w:r>
    </w:p>
    <w:p>
      <w:pPr>
        <w:pStyle w:val="Compact"/>
        <w:numPr>
          <w:ilvl w:val="0"/>
          <w:numId w:val="1031"/>
        </w:numPr>
      </w:pPr>
      <w:r>
        <w:t xml:space="preserve">Consider expanding into the Asia-Pacific region to tap into the growing demand for biotech products and services.</w:t>
      </w:r>
    </w:p>
    <w:bookmarkEnd w:id="63"/>
    <w:bookmarkStart w:id="64" w:name="monitor-and-learn-from-key-competitors"/>
    <w:p>
      <w:pPr>
        <w:pStyle w:val="Heading3"/>
      </w:pPr>
      <w:r>
        <w:rPr>
          <w:b/>
          <w:bCs/>
        </w:rPr>
        <w:t xml:space="preserve">Monitor and Learn from Key Competitors</w:t>
      </w:r>
    </w:p>
    <w:p>
      <w:pPr>
        <w:pStyle w:val="Compact"/>
        <w:numPr>
          <w:ilvl w:val="0"/>
          <w:numId w:val="1032"/>
        </w:numPr>
      </w:pPr>
      <w:r>
        <w:t xml:space="preserve">Keep a close eye on the key competitors in the Indian biotech industry, such as Biocon, Dr. Reddy’s Laboratories, and Sun Pharma.</w:t>
      </w:r>
    </w:p>
    <w:p>
      <w:pPr>
        <w:pStyle w:val="Compact"/>
        <w:numPr>
          <w:ilvl w:val="0"/>
          <w:numId w:val="1032"/>
        </w:numPr>
      </w:pPr>
      <w:r>
        <w:t xml:space="preserve">Analyze their strategies, product offerings, and market approaches to identify opportunities for None to differentiate itself and gain a competitive edge.</w:t>
      </w:r>
    </w:p>
    <w:bookmarkEnd w:id="64"/>
    <w:bookmarkStart w:id="65" w:name="X7aa7ca127696ddd3ce2ce6f59acde549d5049b0"/>
    <w:p>
      <w:pPr>
        <w:pStyle w:val="Heading3"/>
      </w:pPr>
      <w:r>
        <w:rPr>
          <w:b/>
          <w:bCs/>
        </w:rPr>
        <w:t xml:space="preserve">Stay Up-to-Date with the Latest Biotech News and Trends</w:t>
      </w:r>
    </w:p>
    <w:p>
      <w:pPr>
        <w:pStyle w:val="Compact"/>
        <w:numPr>
          <w:ilvl w:val="0"/>
          <w:numId w:val="1033"/>
        </w:numPr>
      </w:pPr>
      <w:r>
        <w:t xml:space="preserve">Continuously monitor the latest news and trends in the biotech industry, such as M&amp;A deals, IPOs, and regulatory changes.</w:t>
      </w:r>
    </w:p>
    <w:p>
      <w:pPr>
        <w:pStyle w:val="Compact"/>
        <w:numPr>
          <w:ilvl w:val="0"/>
          <w:numId w:val="1033"/>
        </w:numPr>
      </w:pPr>
      <w:r>
        <w:t xml:space="preserve">Use this information to inform None’s strategy and stay ahead of competitors.</w:t>
      </w:r>
    </w:p>
    <w:bookmarkEnd w:id="65"/>
    <w:bookmarkStart w:id="66" w:name="Xa007a648eb00da10b173f12b78aa171c98ef332"/>
    <w:p>
      <w:pPr>
        <w:pStyle w:val="Heading3"/>
      </w:pPr>
      <w:r>
        <w:rPr>
          <w:b/>
          <w:bCs/>
        </w:rPr>
        <w:t xml:space="preserve">Consider Strategic Partnerships and Collaborations</w:t>
      </w:r>
    </w:p>
    <w:p>
      <w:pPr>
        <w:pStyle w:val="Compact"/>
        <w:numPr>
          <w:ilvl w:val="0"/>
          <w:numId w:val="1034"/>
        </w:numPr>
      </w:pPr>
      <w:r>
        <w:t xml:space="preserve">Collaborate with other biotech companies, research institutions, and organizations to stay at the forefront of innovation and technology.</w:t>
      </w:r>
    </w:p>
    <w:p>
      <w:pPr>
        <w:pStyle w:val="Compact"/>
        <w:numPr>
          <w:ilvl w:val="0"/>
          <w:numId w:val="1034"/>
        </w:numPr>
      </w:pPr>
      <w:r>
        <w:t xml:space="preserve">Consider strategic partnerships to expand None’s product offerings, improve efficiency, and reduce costs.</w:t>
      </w:r>
    </w:p>
    <w:bookmarkEnd w:id="66"/>
    <w:bookmarkStart w:id="70" w:name="invest-in-digital-transformation"/>
    <w:p>
      <w:pPr>
        <w:pStyle w:val="Heading3"/>
      </w:pPr>
      <w:r>
        <w:rPr>
          <w:b/>
          <w:bCs/>
        </w:rPr>
        <w:t xml:space="preserve">Invest in Digital Transformation</w:t>
      </w:r>
    </w:p>
    <w:p>
      <w:pPr>
        <w:pStyle w:val="Compact"/>
        <w:numPr>
          <w:ilvl w:val="0"/>
          <w:numId w:val="1035"/>
        </w:numPr>
      </w:pPr>
      <w:r>
        <w:t xml:space="preserve">Leverage digital technologies, such as artificial intelligence, machine learning, and data analytics, to improve None’s operations, product development, and customer engagement.</w:t>
      </w:r>
    </w:p>
    <w:p>
      <w:pPr>
        <w:pStyle w:val="Compact"/>
        <w:numPr>
          <w:ilvl w:val="0"/>
          <w:numId w:val="1035"/>
        </w:numPr>
      </w:pPr>
      <w:r>
        <w:t xml:space="preserve">Invest in digital transformation to stay competitive and improve efficiency in</w:t>
      </w:r>
    </w:p>
    <w:p>
      <w:pPr>
        <w:pStyle w:val="FirstParagraph"/>
      </w:pPr>
      <w:r>
        <w:drawing>
          <wp:inline>
            <wp:extent cx="5334000" cy="4000499"/>
            <wp:effectExtent b="0" l="0" r="0" t="0"/>
            <wp:docPr descr="" title="" id="68" name="Picture"/>
            <a:graphic>
              <a:graphicData uri="http://schemas.openxmlformats.org/drawingml/2006/picture">
                <pic:pic>
                  <pic:nvPicPr>
                    <pic:cNvPr descr="bar_graph.png" id="69" name="Picture"/>
                    <pic:cNvPicPr>
                      <a:picLocks noChangeArrowheads="1" noChangeAspect="1"/>
                    </pic:cNvPicPr>
                  </pic:nvPicPr>
                  <pic:blipFill>
                    <a:blip r:embed="rId67"/>
                    <a:stretch>
                      <a:fillRect/>
                    </a:stretch>
                  </pic:blipFill>
                  <pic:spPr bwMode="auto">
                    <a:xfrm>
                      <a:off x="0" y="0"/>
                      <a:ext cx="5334000" cy="4000499"/>
                    </a:xfrm>
                    <a:prstGeom prst="rect">
                      <a:avLst/>
                    </a:prstGeom>
                    <a:noFill/>
                    <a:ln w="9525">
                      <a:noFill/>
                      <a:headEnd/>
                      <a:tailEnd/>
                    </a:ln>
                  </pic:spPr>
                </pic:pic>
              </a:graphicData>
            </a:graphic>
          </wp:inline>
        </w:drawing>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hyperlink" Id="rId48" Target="https://www.biopharmadive.com/" TargetMode="External" /><Relationship Type="http://schemas.openxmlformats.org/officeDocument/2006/relationships/hyperlink" Id="rId50" Target="https://www.bloomberg.com/news/articles/2024-02-07/biotech-ipos-jump-more-than-20-as-momentum-builds-for-listings" TargetMode="External" /><Relationship Type="http://schemas.openxmlformats.org/officeDocument/2006/relationships/hyperlink" Id="rId44" Target="https://www.bloomberg.com/news/articles/2024-03-14/biotech-rally-gets-100-billion-m-a-lift-with-more-deals-to-come" TargetMode="External" /><Relationship Type="http://schemas.openxmlformats.org/officeDocument/2006/relationships/hyperlink" Id="rId52" Target="https://www.bloomberg.com/professional/insights/markets/investing-in-biopharma-innovation-can-you-stay-one-step-ahead/" TargetMode="External" /><Relationship Type="http://schemas.openxmlformats.org/officeDocument/2006/relationships/hyperlink" Id="rId46" Target="https://www.bloomberg.com/profile/company/3359724Z:US" TargetMode="External" /><Relationship Type="http://schemas.openxmlformats.org/officeDocument/2006/relationships/hyperlink" Id="rId41" Target="https://www.glassdoor.co.in/Explore/top-pharmaceutical-and-biotechnology-companies_IS.4,36_ISEC10005.htm" TargetMode="External" /><Relationship Type="http://schemas.openxmlformats.org/officeDocument/2006/relationships/hyperlink" Id="rId40" Target="https://www.investindia.gov.in/sector/biotechnology" TargetMode="External" /><Relationship Type="http://schemas.openxmlformats.org/officeDocument/2006/relationships/hyperlink" Id="rId38" Target="https://www.precedenceresearch.com/biotechnology-market" TargetMode="External" /></Relationships>
</file>

<file path=word/_rels/footnotes.xml.rels><?xml version="1.0" encoding="UTF-8"?><Relationships xmlns="http://schemas.openxmlformats.org/package/2006/relationships"><Relationship Type="http://schemas.openxmlformats.org/officeDocument/2006/relationships/hyperlink" Id="rId48" Target="https://www.biopharmadive.com/" TargetMode="External" /><Relationship Type="http://schemas.openxmlformats.org/officeDocument/2006/relationships/hyperlink" Id="rId50" Target="https://www.bloomberg.com/news/articles/2024-02-07/biotech-ipos-jump-more-than-20-as-momentum-builds-for-listings" TargetMode="External" /><Relationship Type="http://schemas.openxmlformats.org/officeDocument/2006/relationships/hyperlink" Id="rId44" Target="https://www.bloomberg.com/news/articles/2024-03-14/biotech-rally-gets-100-billion-m-a-lift-with-more-deals-to-come" TargetMode="External" /><Relationship Type="http://schemas.openxmlformats.org/officeDocument/2006/relationships/hyperlink" Id="rId52" Target="https://www.bloomberg.com/professional/insights/markets/investing-in-biopharma-innovation-can-you-stay-one-step-ahead/" TargetMode="External" /><Relationship Type="http://schemas.openxmlformats.org/officeDocument/2006/relationships/hyperlink" Id="rId46" Target="https://www.bloomberg.com/profile/company/3359724Z:US" TargetMode="External" /><Relationship Type="http://schemas.openxmlformats.org/officeDocument/2006/relationships/hyperlink" Id="rId41" Target="https://www.glassdoor.co.in/Explore/top-pharmaceutical-and-biotechnology-companies_IS.4,36_ISEC10005.htm" TargetMode="External" /><Relationship Type="http://schemas.openxmlformats.org/officeDocument/2006/relationships/hyperlink" Id="rId40" Target="https://www.investindia.gov.in/sector/biotechnology" TargetMode="External" /><Relationship Type="http://schemas.openxmlformats.org/officeDocument/2006/relationships/hyperlink" Id="rId38" Target="https://www.precedenceresearch.com/biotechnology-mark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2024-07-21T14:34:57Z</dcterms:created>
  <dcterms:modified xsi:type="dcterms:W3CDTF">2024-07-21T14:34:57Z</dcterms:modified>
</cp:coreProperties>
</file>

<file path=docProps/custom.xml><?xml version="1.0" encoding="utf-8"?>
<Properties xmlns="http://schemas.openxmlformats.org/officeDocument/2006/custom-properties" xmlns:vt="http://schemas.openxmlformats.org/officeDocument/2006/docPropsVTypes"/>
</file>