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Permanent Marker" w:cs="Permanent Marker" w:eastAsia="Permanent Marker" w:hAnsi="Permanent Marker"/>
          <w:u w:val="single"/>
          <w:rtl w:val="0"/>
        </w:rPr>
        <w:t xml:space="preserve">Remember Loops?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Write all of these in one program.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1a)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Print 0 - 10 on one line with commas between the numbers using a for loop.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1b)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Print 0 - 10 on one line with commas between the numbers using a while loop.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2a)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all even integers between 2 and 30 on different lines using a for loop.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2b)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Print all even integers between 2 and 30 on different lines using a while loop.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Use whatever kind of loop you want for 3 - 6.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Ask the user to keep entering positive integers until they enter 0. Print out the sum.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Ask the user to keep entering positive integers until they enter 0. Print out the average.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Make a multiplication table for the integers between 1 and 10.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Ask the user to keep entering integers until they enter the same number twice in a row. Print out the minimum and maximum.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If the user enters: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6 5 6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it keeps going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If the user enters: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5 6 6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it stops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