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https://clay-image-generation.s3.us-east-1.amazonaws.com/e8b5f6b2-0491-4806-b2df-115c46c53efb.png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https://drive.google.com/file/d/14tyFO9wkoCqhF3MWpznoVSq1mSCWDIjD/view?usp=drivesdk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observa a una madre soltera intentando empujar un carrito de bebé por unas escaleras empinadas que carecen de rampa. La expresión en su rostro muestra una mezcla de determinación y cansancio, evidenciando las dificultades que enfrenta. Alrededor de ella, hay un grupo diverso de transeúntes, incluyendo hombres, mujeres y niños, que solo observan la situación sin ofrecer ayuda. Sus expresiones varían desde la indiferencia hasta la curiosidad, destacando el contraste entre la lucha de la madre y la inacción de los observadores. El entorno es claramente urbano, con edificios, señales de tráfico y otros elementos de la vida citadina visibles en el fondo, lo que subraya el contexto del reto al que se enfrenta la madre.</w:t>
      </w:r>
    </w:p>
    <w:p>
      <w:r>
        <w:rPr>
          <w:sz w:val="22"/>
        </w:rPr>
        <w:t>La escena parece transcurrir en un día cualquiera, posiblemente en una ciudad concurrida, donde el bullicio y la rutina diaria hacen que las personas a menudo ignoren las dificultades de los demás. Las personas no parecen tener una relación directa entre sí; más bien, son desconocidos que coinciden en el mismo lugar por casualidad.</w:t>
      </w:r>
    </w:p>
    <w:p>
      <w:r>
        <w:rPr>
          <w:sz w:val="22"/>
        </w:rPr>
        <w:t>Los sentimientos en la imagen son diversos. La madre muestra esfuerzo y resolución, mientras que los transeúntes proyectan una falta de empatía que provoca reflexión sobre las responsabilidades sociales y el apoyo comunitario. El contraste entre la tenacidad individual frente a la apatía colectiva es abrumador.</w:t>
      </w:r>
    </w:p>
    <w:p>
      <w:r>
        <w:rPr>
          <w:sz w:val="22"/>
        </w:rPr>
        <w:t>En cuanto al pasado, es posible que esta madre haya enfrentado numerosas adversidades similares, teniendo que depender de su fuerza y determinación para superar obstáculos diarios. Mirando hacia el futuro, uno podría esperar que este momento sea un punto de inflexión que inspire a algunos de los observadores a ofrecer ayuda en situaciones similares o a reflexionar sobre cómo podrían involucrarse más activamente en su comunidad para fomentar un entorno más solidario y empático.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