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8113C7">
      <w:pPr>
        <w:spacing w:before="600" w:after="80"/>
        <w:jc w:val="center"/>
      </w:pPr>
      <w:r>
        <w:rPr>
          <w:rFonts w:ascii="Arial" w:eastAsia="微软雅黑"/>
          <w:b/>
          <w:bCs/>
          <w:color w:val="1F3A5F"/>
          <w:sz w:val="44"/>
          <w:szCs w:val="44"/>
        </w:rPr>
        <w:t>关于灵犀、九天主控、资费智能体的建设情况说明</w:t>
      </w:r>
    </w:p>
    <w:p w14:paraId="441DA170">
      <w:pPr>
        <w:spacing w:after="300"/>
      </w:pPr>
    </w:p>
    <w:p w14:paraId="02176001">
      <w:pPr>
        <w:pStyle w:val="2"/>
        <w:spacing w:before="360" w:after="160"/>
      </w:pPr>
      <w:r>
        <w:rPr>
          <w:rFonts w:ascii="Arial" w:eastAsia="微软雅黑"/>
          <w:b/>
          <w:bCs/>
          <w:color w:val="1F3A5F"/>
          <w:sz w:val="32"/>
          <w:szCs w:val="32"/>
        </w:rPr>
        <w:t>一、背景</w:t>
      </w:r>
    </w:p>
    <w:p w14:paraId="6823CED8">
      <w:pPr>
        <w:spacing w:after="120" w:line="360" w:lineRule="auto"/>
        <w:ind w:firstLine="480"/>
        <w:jc w:val="both"/>
      </w:pPr>
      <w:r>
        <w:rPr>
          <w:rFonts w:ascii="Arial" w:eastAsia="微软雅黑"/>
          <w:color w:val="1A1A1A"/>
          <w:sz w:val="24"/>
          <w:szCs w:val="24"/>
        </w:rPr>
        <w:t>资费智能体是集团“流量头号工程”的核心任务，要求在灵犀入口实现“查、推、办、用”一体的智能服务。推进过程中，在线公司与集团数智化部在能力边界和主控归属两个问题上存在分歧。现将有关情况说明如下。</w:t>
      </w:r>
    </w:p>
    <w:p w14:paraId="1CB85E33">
      <w:pPr>
        <w:pStyle w:val="2"/>
        <w:spacing w:before="360" w:after="160"/>
      </w:pPr>
      <w:r>
        <w:rPr>
          <w:rFonts w:ascii="Arial" w:eastAsia="微软雅黑"/>
          <w:b/>
          <w:bCs/>
          <w:color w:val="1F3A5F"/>
          <w:sz w:val="32"/>
          <w:szCs w:val="32"/>
        </w:rPr>
        <w:t>二、目标架构：一个主控调度多个子智能体</w:t>
      </w:r>
    </w:p>
    <w:p w14:paraId="43C60BB3">
      <w:pPr>
        <w:spacing w:after="120" w:line="360" w:lineRule="auto"/>
        <w:ind w:firstLine="480"/>
        <w:jc w:val="both"/>
      </w:pPr>
      <w:r>
        <w:rPr>
          <w:rFonts w:ascii="Arial" w:eastAsia="微软雅黑"/>
          <w:color w:val="1A1A1A"/>
          <w:sz w:val="24"/>
          <w:szCs w:val="24"/>
        </w:rPr>
        <w:t>对标行业主流的智能体协同（Agentic）架构，目标方案由一个主控智能体负责理解客户意图、统筹调度，若干子智能体各司其职执行具体任务。客户一句话进入后，主控识别意图、拆分任务、调度执行，通过多轮对话完成咨询、推荐、订购的全旅程。资费智能体是其中承担“营销推荐”职能的子智能体。</w:t>
      </w:r>
    </w:p>
    <w:p w14:paraId="7CB93F20">
      <w:pPr>
        <w:spacing w:after="120" w:line="360" w:lineRule="auto"/>
        <w:ind w:firstLine="480"/>
        <w:jc w:val="both"/>
      </w:pPr>
      <w:r>
        <w:rPr>
          <w:rFonts w:ascii="Arial" w:eastAsia="微软雅黑"/>
          <w:color w:val="1A1A1A"/>
          <w:sz w:val="24"/>
          <w:szCs w:val="24"/>
        </w:rPr>
        <w:t>对这一架构方向，各方（包括数智化部内部方案）均已认同。</w:t>
      </w:r>
      <w:r>
        <w:rPr>
          <w:rFonts w:ascii="Arial" w:eastAsia="微软雅黑"/>
          <w:b/>
          <w:bCs/>
          <w:color w:val="1A1A1A"/>
          <w:sz w:val="24"/>
          <w:szCs w:val="24"/>
        </w:rPr>
        <w:t>当前分歧在于：主控由谁建设和掌控。</w:t>
      </w:r>
    </w:p>
    <w:p w14:paraId="36573A1F">
      <w:pPr>
        <w:pStyle w:val="2"/>
        <w:spacing w:before="360" w:after="160"/>
      </w:pPr>
      <w:r>
        <w:rPr>
          <w:rFonts w:ascii="Arial" w:eastAsia="微软雅黑"/>
          <w:b/>
          <w:bCs/>
          <w:color w:val="1F3A5F"/>
          <w:sz w:val="32"/>
          <w:szCs w:val="32"/>
        </w:rPr>
        <w:t>三、当前进展</w:t>
      </w:r>
    </w:p>
    <w:p w14:paraId="45A00DC0">
      <w:pPr>
        <w:spacing w:after="120" w:line="360" w:lineRule="auto"/>
        <w:ind w:firstLine="480"/>
        <w:jc w:val="both"/>
      </w:pPr>
      <w:r>
        <w:rPr>
          <w:rFonts w:ascii="Arial" w:eastAsia="微软雅黑"/>
          <w:color w:val="1A1A1A"/>
          <w:sz w:val="24"/>
          <w:szCs w:val="24"/>
        </w:rPr>
        <w:t>在线公司已完成灵犀架构升级，新版灵犀已在北京试点开放，具备独立的主控调度能力，可自主完成咨询、推荐、订购全旅程处理，多轮对话和意图识别能力较现网明显提升。</w:t>
      </w:r>
    </w:p>
    <w:p w14:paraId="638704E8">
      <w:pPr>
        <w:spacing w:after="120" w:line="360" w:lineRule="auto"/>
        <w:ind w:firstLine="480"/>
        <w:jc w:val="both"/>
      </w:pPr>
      <w:r>
        <w:rPr>
          <w:rFonts w:ascii="Arial" w:eastAsia="微软雅黑"/>
          <w:b/>
          <w:bCs/>
          <w:color w:val="1A1A1A"/>
          <w:sz w:val="24"/>
          <w:szCs w:val="24"/>
        </w:rPr>
        <w:t>资费智能体对接计划：</w:t>
      </w:r>
      <w:r>
        <w:rPr>
          <w:rFonts w:ascii="Arial" w:eastAsia="微软雅黑"/>
          <w:color w:val="1A1A1A"/>
          <w:sz w:val="24"/>
          <w:szCs w:val="24"/>
        </w:rPr>
        <w:t>计划9月10日前在北京新架构上完成资费智能体集成。江苏、福建、广东、山东、陕西五省已基于现网完成推荐流程替换，河南依托属地自建能力自行承接。年底前完成全量省份向新架构迁移，支撑11月合作伙伴大会发布。</w:t>
      </w:r>
    </w:p>
    <w:p w14:paraId="70F60E01">
      <w:pPr>
        <w:spacing w:before="160" w:after="60"/>
        <w:jc w:val="center"/>
      </w:pPr>
      <w:r>
        <w:drawing>
          <wp:inline distT="0" distB="0" distL="0" distR="0">
            <wp:extent cx="5143500" cy="2714625"/>
            <wp:effectExtent l="0" t="0" r="0" b="0"/>
            <wp:docPr id="2" name="当前对接方案" descr="当前对接方案" title="当前对接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当前对接方案" descr="当前对接方案" title="当前对接方案"/>
                    <pic:cNvPicPr>
                      <a:picLocks noChangeAspect="1" noChangeArrowheads="1"/>
                    </pic:cNvPicPr>
                  </pic:nvPicPr>
                  <pic:blipFill>
                    <a:blip r:embed="rId5"/>
                    <a:srcRect/>
                    <a:stretch>
                      <a:fillRect/>
                    </a:stretch>
                  </pic:blipFill>
                  <pic:spPr>
                    <a:xfrm>
                      <a:off x="0" y="0"/>
                      <a:ext cx="5143500" cy="2714625"/>
                    </a:xfrm>
                    <a:prstGeom prst="rect">
                      <a:avLst/>
                    </a:prstGeom>
                  </pic:spPr>
                </pic:pic>
              </a:graphicData>
            </a:graphic>
          </wp:inline>
        </w:drawing>
      </w:r>
    </w:p>
    <w:p w14:paraId="2A9796E3">
      <w:pPr>
        <w:spacing w:before="40" w:after="200"/>
        <w:jc w:val="center"/>
      </w:pPr>
      <w:r>
        <w:rPr>
          <w:rFonts w:ascii="Arial" w:eastAsia="微软雅黑"/>
          <w:color w:val="808080"/>
          <w:sz w:val="20"/>
          <w:szCs w:val="20"/>
        </w:rPr>
        <w:t>图2 - 当前对接方案</w:t>
      </w:r>
    </w:p>
    <w:p w14:paraId="2C3C4F8A">
      <w:pPr>
        <w:pStyle w:val="2"/>
        <w:spacing w:before="360" w:after="160"/>
      </w:pPr>
      <w:r>
        <w:rPr>
          <w:rFonts w:ascii="Arial" w:eastAsia="微软雅黑"/>
          <w:b/>
          <w:bCs/>
          <w:color w:val="1F3A5F"/>
          <w:sz w:val="32"/>
          <w:szCs w:val="32"/>
        </w:rPr>
        <w:t>四、争议焦点</w:t>
      </w:r>
    </w:p>
    <w:p w14:paraId="7117FF47">
      <w:pPr>
        <w:spacing w:after="120" w:line="360" w:lineRule="auto"/>
        <w:ind w:firstLine="480"/>
        <w:jc w:val="both"/>
      </w:pPr>
      <w:r>
        <w:rPr>
          <w:rFonts w:ascii="Arial" w:eastAsia="微软雅黑"/>
          <w:color w:val="1A1A1A"/>
          <w:sz w:val="24"/>
          <w:szCs w:val="24"/>
        </w:rPr>
        <w:t>目前，在线公司与集团数智化部主要存在两处分歧。</w:t>
      </w:r>
    </w:p>
    <w:p w14:paraId="29088099">
      <w:pPr>
        <w:pStyle w:val="3"/>
        <w:spacing w:before="280" w:after="120"/>
      </w:pPr>
      <w:r>
        <w:rPr>
          <w:rFonts w:ascii="Arial" w:eastAsia="微软雅黑"/>
          <w:b/>
          <w:bCs/>
          <w:color w:val="3B6CA8"/>
          <w:sz w:val="28"/>
          <w:szCs w:val="28"/>
        </w:rPr>
        <w:t>（一）争议一：资费子智能体的能力边界</w:t>
      </w:r>
    </w:p>
    <w:p w14:paraId="216CD100">
      <w:pPr>
        <w:spacing w:after="120" w:line="360" w:lineRule="auto"/>
        <w:ind w:firstLine="480"/>
        <w:jc w:val="both"/>
      </w:pPr>
      <w:r>
        <w:rPr>
          <w:rFonts w:ascii="Arial" w:eastAsia="微软雅黑"/>
          <w:color w:val="1A1A1A"/>
          <w:sz w:val="24"/>
          <w:szCs w:val="24"/>
        </w:rPr>
        <w:t>5月，集团发文（市场通〔2026〕68号）要求由数智化部建设资费智能体，实现“查、推、办、用”一体全链路服务。8月，数智化部表示当前只能承担“推荐”单一环节，咨询、办理等上下游环节无力支撑，并提出未来若要支撑全链路，应由在线公司封装知识查询、服务查询等接口供其调用。</w:t>
      </w:r>
    </w:p>
    <w:p w14:paraId="7E2067F0">
      <w:pPr>
        <w:spacing w:after="120" w:line="360" w:lineRule="auto"/>
        <w:ind w:firstLine="480"/>
        <w:jc w:val="both"/>
      </w:pPr>
      <w:r>
        <w:rPr>
          <w:rFonts w:ascii="Arial" w:eastAsia="微软雅黑"/>
          <w:b/>
          <w:bCs/>
          <w:color w:val="1A1A1A"/>
          <w:sz w:val="24"/>
          <w:szCs w:val="24"/>
        </w:rPr>
        <w:t>经协商，双方已形成两点共识：</w:t>
      </w:r>
      <w:r>
        <w:rPr>
          <w:rFonts w:ascii="Arial" w:eastAsia="微软雅黑"/>
          <w:color w:val="1A1A1A"/>
          <w:sz w:val="24"/>
          <w:szCs w:val="24"/>
        </w:rPr>
        <w:t>一是当前数智化部仅负责推荐环节，推荐结果以其为准、由其负责；二是基于此分工，在线公司负责“查、办、用”的能力衍接，无需额外封装工具接口。相关知识数据与查询接口在集团层面均已具备，数智化部可自行解决，无需绕道在线公司。</w:t>
      </w:r>
    </w:p>
    <w:p w14:paraId="696374DD">
      <w:pPr>
        <w:pStyle w:val="3"/>
        <w:spacing w:before="280" w:after="120"/>
      </w:pPr>
      <w:r>
        <w:rPr>
          <w:rFonts w:ascii="Arial" w:eastAsia="微软雅黑"/>
          <w:b/>
          <w:bCs/>
          <w:color w:val="3B6CA8"/>
          <w:sz w:val="28"/>
          <w:szCs w:val="28"/>
        </w:rPr>
        <w:t>（二）争议二：APP灵犀主控归属</w:t>
      </w:r>
    </w:p>
    <w:p w14:paraId="30980AC8">
      <w:pPr>
        <w:spacing w:after="120" w:line="360" w:lineRule="auto"/>
        <w:ind w:firstLine="480"/>
        <w:jc w:val="both"/>
      </w:pPr>
      <w:r>
        <w:rPr>
          <w:rFonts w:ascii="Arial" w:eastAsia="微软雅黑"/>
          <w:color w:val="1A1A1A"/>
          <w:sz w:val="24"/>
          <w:szCs w:val="24"/>
        </w:rPr>
        <w:t>数智化部在近期沟通中提出，希望借本次资费推荐智能体工作，将九天MOMA接入灵犀、替代灵犀主控，统一承接意图识别与子智能体调度。</w:t>
      </w:r>
      <w:r>
        <w:rPr>
          <w:rFonts w:ascii="Arial" w:eastAsia="微软雅黑"/>
          <w:b/>
          <w:bCs/>
          <w:color w:val="1A1A1A"/>
          <w:sz w:val="24"/>
          <w:szCs w:val="24"/>
        </w:rPr>
        <w:t>其深层动因是九天存在服务量考核压力，接入中国移动APP可直接放大调用量。</w:t>
      </w:r>
    </w:p>
    <w:p w14:paraId="72F56E1C">
      <w:pPr>
        <w:spacing w:before="160" w:after="60"/>
        <w:jc w:val="center"/>
      </w:pPr>
      <w:r>
        <w:drawing>
          <wp:inline distT="0" distB="0" distL="0" distR="0">
            <wp:extent cx="5143500" cy="2733675"/>
            <wp:effectExtent l="0" t="0" r="0" b="0"/>
            <wp:docPr id="4" name="数智化部主张" descr="数智化部主张" title="数智化部主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数智化部主张" descr="数智化部主张" title="数智化部主张"/>
                    <pic:cNvPicPr>
                      <a:picLocks noChangeAspect="1" noChangeArrowheads="1"/>
                    </pic:cNvPicPr>
                  </pic:nvPicPr>
                  <pic:blipFill>
                    <a:blip r:embed="rId6"/>
                    <a:srcRect/>
                    <a:stretch>
                      <a:fillRect/>
                    </a:stretch>
                  </pic:blipFill>
                  <pic:spPr>
                    <a:xfrm>
                      <a:off x="0" y="0"/>
                      <a:ext cx="5143500" cy="2733675"/>
                    </a:xfrm>
                    <a:prstGeom prst="rect">
                      <a:avLst/>
                    </a:prstGeom>
                  </pic:spPr>
                </pic:pic>
              </a:graphicData>
            </a:graphic>
          </wp:inline>
        </w:drawing>
      </w:r>
    </w:p>
    <w:p w14:paraId="72FFBF81">
      <w:pPr>
        <w:spacing w:before="40" w:after="200"/>
        <w:jc w:val="center"/>
      </w:pPr>
      <w:r>
        <w:rPr>
          <w:rFonts w:ascii="Arial" w:eastAsia="微软雅黑"/>
          <w:color w:val="808080"/>
          <w:sz w:val="20"/>
          <w:szCs w:val="20"/>
        </w:rPr>
        <w:t>图4 - 数智化部主张未来主控应由九天负责</w:t>
      </w:r>
    </w:p>
    <w:p w14:paraId="6F21CB75">
      <w:pPr>
        <w:spacing w:after="120" w:line="360" w:lineRule="auto"/>
        <w:ind w:firstLine="480"/>
        <w:jc w:val="both"/>
      </w:pPr>
      <w:r>
        <w:rPr>
          <w:rFonts w:ascii="Arial" w:eastAsia="微软雅黑"/>
          <w:b/>
          <w:bCs/>
          <w:color w:val="1A1A1A"/>
          <w:sz w:val="24"/>
          <w:szCs w:val="24"/>
        </w:rPr>
        <w:t>对此，在线公司持反对意见，理由如下：</w:t>
      </w:r>
    </w:p>
    <w:p w14:paraId="7DBBF9BA">
      <w:pPr>
        <w:spacing w:after="120" w:line="360" w:lineRule="auto"/>
        <w:ind w:firstLine="480"/>
        <w:jc w:val="both"/>
      </w:pPr>
      <w:r>
        <w:rPr>
          <w:rFonts w:ascii="Arial" w:eastAsia="微软雅黑"/>
          <w:b/>
          <w:bCs/>
          <w:color w:val="1A1A1A"/>
          <w:sz w:val="24"/>
          <w:szCs w:val="24"/>
        </w:rPr>
        <w:t>一是工作边界。</w:t>
      </w:r>
      <w:r>
        <w:rPr>
          <w:rFonts w:ascii="Arial" w:eastAsia="微软雅黑"/>
          <w:color w:val="1A1A1A"/>
          <w:sz w:val="24"/>
          <w:szCs w:val="24"/>
        </w:rPr>
        <w:t>依据市场通〔2024〕166号文，在线公司是APP运营主体，对整体规模和体验负全责。主控是灵犀的调度中枢，承载意图识别、对话路由、业务分流，贯穿交互、办理、服务兑底全链路，直接决定线上服务质量和运营成效。主控若不归口在线，将出现“承担体验结果责任、缺少核心管控抓手”的权责错配。</w:t>
      </w:r>
    </w:p>
    <w:p w14:paraId="391FDB7E">
      <w:pPr>
        <w:spacing w:after="120" w:line="360" w:lineRule="auto"/>
        <w:ind w:firstLine="480"/>
        <w:jc w:val="both"/>
      </w:pPr>
      <w:r>
        <w:rPr>
          <w:rFonts w:ascii="Arial" w:eastAsia="微软雅黑"/>
          <w:b/>
          <w:bCs/>
          <w:color w:val="1A1A1A"/>
          <w:sz w:val="24"/>
          <w:szCs w:val="24"/>
        </w:rPr>
        <w:t>二是业务属性。</w:t>
      </w:r>
      <w:r>
        <w:rPr>
          <w:rFonts w:ascii="Arial" w:eastAsia="微软雅黑"/>
          <w:color w:val="1A1A1A"/>
          <w:sz w:val="24"/>
          <w:szCs w:val="24"/>
        </w:rPr>
        <w:t>灵犀月活6000余万、月交互1000余万次，承载服务中97%以上是通信类客服业务。主控建设是业务规则、场景适配、运营策略与技术实现的复合型工作，意图调优、话术管控、异常兑底等均需深厚的通信业务积累。在线公司长期深耵10086客服体系，由在线建设运营主控才能精准匹配业务需求。</w:t>
      </w:r>
    </w:p>
    <w:p w14:paraId="0E9CFF3F">
      <w:pPr>
        <w:spacing w:after="120" w:line="360" w:lineRule="auto"/>
        <w:ind w:firstLine="480"/>
        <w:jc w:val="both"/>
      </w:pPr>
      <w:r>
        <w:rPr>
          <w:rFonts w:ascii="Arial" w:eastAsia="微软雅黑"/>
          <w:b/>
          <w:bCs/>
          <w:color w:val="1A1A1A"/>
          <w:sz w:val="24"/>
          <w:szCs w:val="24"/>
        </w:rPr>
        <w:t>三是系统架构。</w:t>
      </w:r>
      <w:r>
        <w:rPr>
          <w:rFonts w:ascii="Arial" w:eastAsia="微软雅黑"/>
          <w:color w:val="1A1A1A"/>
          <w:sz w:val="24"/>
          <w:szCs w:val="24"/>
        </w:rPr>
        <w:t>灵犀的能力调用、数据流转与在线一体化客服体系深度绑定：业务接口调度、用户数据同步、办理链路、人工兑底转接、工单流转、风控校验均已形成联动；APP渠道与热线渠道双向兑底，主控是衔接节点。若改由九天替代，上述链路需推倒重建，用户体验的一致性和连续性将面临较大风险。</w:t>
      </w:r>
    </w:p>
    <w:p w14:paraId="073D0ED6">
      <w:pPr>
        <w:spacing w:after="120" w:line="360" w:lineRule="auto"/>
        <w:ind w:firstLine="480"/>
        <w:jc w:val="both"/>
      </w:pPr>
      <w:r>
        <w:rPr>
          <w:rFonts w:ascii="Arial" w:eastAsia="微软雅黑"/>
          <w:b/>
          <w:bCs/>
          <w:color w:val="1A1A1A"/>
          <w:sz w:val="24"/>
          <w:szCs w:val="24"/>
        </w:rPr>
        <w:t>目前状态：</w:t>
      </w:r>
      <w:r>
        <w:rPr>
          <w:rFonts w:ascii="Arial" w:eastAsia="微软雅黑"/>
          <w:color w:val="1A1A1A"/>
          <w:sz w:val="24"/>
          <w:szCs w:val="24"/>
        </w:rPr>
        <w:t>数智化部已在正式会议中表态，建议灵犀仅保留一层主控，但主控建设归属尚未确定。</w:t>
      </w:r>
      <w:bookmarkStart w:id="0" w:name="_GoBack"/>
      <w:bookmarkEnd w:id="0"/>
    </w:p>
    <w:p w14:paraId="5963FC16">
      <w:pPr>
        <w:pStyle w:val="2"/>
        <w:spacing w:before="360" w:after="160"/>
      </w:pPr>
      <w:r>
        <w:rPr>
          <w:rFonts w:ascii="Arial" w:eastAsia="微软雅黑"/>
          <w:b/>
          <w:bCs/>
          <w:color w:val="1F3A5F"/>
          <w:sz w:val="32"/>
          <w:szCs w:val="32"/>
        </w:rPr>
        <w:t>五、分工建议</w:t>
      </w:r>
    </w:p>
    <w:p w14:paraId="538DFCBA">
      <w:pPr>
        <w:pStyle w:val="3"/>
        <w:spacing w:before="280" w:after="120"/>
      </w:pPr>
      <w:r>
        <w:rPr>
          <w:rFonts w:ascii="Arial" w:eastAsia="微软雅黑"/>
          <w:b/>
          <w:bCs/>
          <w:color w:val="3B6CA8"/>
          <w:sz w:val="28"/>
          <w:szCs w:val="28"/>
        </w:rPr>
        <w:t>（一）总体主张</w:t>
      </w:r>
    </w:p>
    <w:p w14:paraId="26B1FD50">
      <w:pPr>
        <w:spacing w:after="120" w:line="360" w:lineRule="auto"/>
        <w:ind w:firstLine="480"/>
        <w:jc w:val="both"/>
      </w:pPr>
      <w:r>
        <w:rPr>
          <w:rFonts w:ascii="Arial" w:eastAsia="微软雅黑"/>
          <w:b/>
          <w:bCs/>
          <w:color w:val="1A1A1A"/>
          <w:sz w:val="24"/>
          <w:szCs w:val="24"/>
        </w:rPr>
        <w:t>在线灵犀主控为主、九天作为能力提供方被调用。</w:t>
      </w:r>
      <w:r>
        <w:rPr>
          <w:rFonts w:ascii="Arial" w:eastAsia="微软雅黑"/>
          <w:color w:val="1A1A1A"/>
          <w:sz w:val="24"/>
          <w:szCs w:val="24"/>
        </w:rPr>
        <w:t>灵犀调度中枢留在在线公司，数智化部作为基础大模型和智能体能力提供方按需被调用。该方案符合各方认同的智能体协同架构，也确保在线公司对APP服务链路的管控。九天的调用量诉求通过被主控调用同样能够满足，无需以替代主控的方式解决。</w:t>
      </w:r>
    </w:p>
    <w:p w14:paraId="49DDC11C">
      <w:pPr>
        <w:pStyle w:val="3"/>
        <w:spacing w:before="280" w:after="120"/>
      </w:pPr>
      <w:r>
        <w:rPr>
          <w:rFonts w:ascii="Arial" w:eastAsia="微软雅黑"/>
          <w:b/>
          <w:bCs/>
          <w:color w:val="3B6CA8"/>
          <w:sz w:val="28"/>
          <w:szCs w:val="28"/>
        </w:rPr>
        <w:t>（二）各方分工</w:t>
      </w:r>
    </w:p>
    <w:p w14:paraId="388A9EED">
      <w:pPr>
        <w:spacing w:after="120" w:line="360" w:lineRule="auto"/>
        <w:ind w:firstLine="480"/>
        <w:jc w:val="both"/>
      </w:pPr>
      <w:r>
        <w:rPr>
          <w:rFonts w:ascii="Arial" w:eastAsia="微软雅黑"/>
          <w:b/>
          <w:bCs/>
          <w:color w:val="1A1A1A"/>
          <w:sz w:val="24"/>
          <w:szCs w:val="24"/>
        </w:rPr>
        <w:t>在线公司：</w:t>
      </w:r>
      <w:r>
        <w:rPr>
          <w:rFonts w:ascii="Arial" w:eastAsia="微软雅黑"/>
          <w:color w:val="1A1A1A"/>
          <w:sz w:val="24"/>
          <w:szCs w:val="24"/>
        </w:rPr>
        <w:t>建设运营灵犀主控与交互层；9月10日前完成北京新架构对接；年底前完成全量省份迁移；负责面客话术优化、灰度管控与服务兑底。</w:t>
      </w:r>
    </w:p>
    <w:p w14:paraId="6A148F6A">
      <w:pPr>
        <w:spacing w:after="120" w:line="360" w:lineRule="auto"/>
        <w:ind w:firstLine="480"/>
        <w:jc w:val="both"/>
      </w:pPr>
      <w:r>
        <w:rPr>
          <w:rFonts w:ascii="Arial" w:eastAsia="微软雅黑"/>
          <w:b/>
          <w:bCs/>
          <w:color w:val="1A1A1A"/>
          <w:sz w:val="24"/>
          <w:szCs w:val="24"/>
        </w:rPr>
        <w:t>集团市场部：</w:t>
      </w:r>
      <w:r>
        <w:rPr>
          <w:rFonts w:ascii="Arial" w:eastAsia="微软雅黑"/>
          <w:color w:val="1A1A1A"/>
          <w:sz w:val="24"/>
          <w:szCs w:val="24"/>
        </w:rPr>
        <w:t>牵头明确产品分类、推荐策略、对外话术三项规范，督导省公司电渠运营。</w:t>
      </w:r>
    </w:p>
    <w:p w14:paraId="511CD8FE">
      <w:pPr>
        <w:spacing w:after="120" w:line="360" w:lineRule="auto"/>
        <w:ind w:firstLine="480"/>
        <w:jc w:val="both"/>
      </w:pPr>
      <w:r>
        <w:rPr>
          <w:rFonts w:ascii="Arial" w:eastAsia="微软雅黑"/>
          <w:b/>
          <w:bCs/>
          <w:color w:val="1A1A1A"/>
          <w:sz w:val="24"/>
          <w:szCs w:val="24"/>
        </w:rPr>
        <w:t>集团数智化部：</w:t>
      </w:r>
      <w:r>
        <w:rPr>
          <w:rFonts w:ascii="Arial" w:eastAsia="微软雅黑"/>
          <w:color w:val="1A1A1A"/>
          <w:sz w:val="24"/>
          <w:szCs w:val="24"/>
        </w:rPr>
        <w:t>专注资费智能体推荐能力建设，加快模型迭代（白名单、推荐规则优化，按日更新策略）；配合完成对接联调；保障训练算力，生产算力按运营节奏申请扩容。</w:t>
      </w:r>
    </w:p>
    <w:p w14:paraId="7EC53C35">
      <w:pPr>
        <w:spacing w:after="120" w:line="360" w:lineRule="auto"/>
        <w:ind w:firstLine="480"/>
        <w:jc w:val="both"/>
      </w:pPr>
      <w:r>
        <w:rPr>
          <w:rFonts w:ascii="Arial" w:eastAsia="微软雅黑"/>
          <w:b/>
          <w:bCs/>
          <w:color w:val="1A1A1A"/>
          <w:sz w:val="24"/>
          <w:szCs w:val="24"/>
        </w:rPr>
        <w:t>省公司：</w:t>
      </w:r>
      <w:r>
        <w:rPr>
          <w:rFonts w:ascii="Arial" w:eastAsia="微软雅黑"/>
          <w:color w:val="1A1A1A"/>
          <w:sz w:val="24"/>
          <w:szCs w:val="24"/>
        </w:rPr>
        <w:t>维护属地业务库和知识库，落实产品与推荐理由规范，做好试点运营。</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118F8">
    <w:pPr>
      <w:jc w:val="center"/>
    </w:pPr>
    <w:r>
      <w:rPr>
        <w:rFonts w:ascii="Arial" w:eastAsia="微软雅黑"/>
        <w:color w:val="808080"/>
        <w:sz w:val="16"/>
        <w:szCs w:val="16"/>
      </w:rPr>
      <w:t xml:space="preserve">第 </w:t>
    </w:r>
    <w:r>
      <w:rPr>
        <w:rFonts w:ascii="Arial" w:eastAsia="微软雅黑"/>
        <w:color w:val="808080"/>
        <w:sz w:val="16"/>
        <w:szCs w:val="16"/>
      </w:rPr>
      <w:fldChar w:fldCharType="begin"/>
    </w:r>
    <w:r>
      <w:rPr>
        <w:rFonts w:ascii="Arial" w:eastAsia="微软雅黑"/>
        <w:color w:val="808080"/>
        <w:sz w:val="16"/>
        <w:szCs w:val="16"/>
      </w:rPr>
      <w:instrText xml:space="preserve">PAGE</w:instrText>
    </w:r>
    <w:r>
      <w:rPr>
        <w:rFonts w:ascii="Arial" w:eastAsia="微软雅黑"/>
        <w:color w:val="808080"/>
        <w:sz w:val="16"/>
        <w:szCs w:val="16"/>
      </w:rPr>
      <w:fldChar w:fldCharType="separate"/>
    </w:r>
    <w:r>
      <w:rPr>
        <w:rFonts w:ascii="Arial" w:eastAsia="微软雅黑"/>
        <w:color w:val="808080"/>
        <w:sz w:val="16"/>
        <w:szCs w:val="16"/>
      </w:rPr>
      <w:fldChar w:fldCharType="end"/>
    </w:r>
    <w:r>
      <w:rPr>
        <w:rFonts w:ascii="Arial" w:eastAsia="微软雅黑"/>
        <w:color w:val="808080"/>
        <w:sz w:val="16"/>
        <w:szCs w:val="16"/>
      </w:rPr>
      <w:t xml:space="preserve"> 页 / 共 </w:t>
    </w:r>
    <w:r>
      <w:rPr>
        <w:rFonts w:ascii="Arial" w:eastAsia="微软雅黑"/>
        <w:color w:val="808080"/>
        <w:sz w:val="16"/>
        <w:szCs w:val="16"/>
      </w:rPr>
      <w:fldChar w:fldCharType="begin"/>
    </w:r>
    <w:r>
      <w:rPr>
        <w:rFonts w:ascii="Arial" w:eastAsia="微软雅黑"/>
        <w:color w:val="808080"/>
        <w:sz w:val="16"/>
        <w:szCs w:val="16"/>
      </w:rPr>
      <w:instrText xml:space="preserve">NUMPAGES</w:instrText>
    </w:r>
    <w:r>
      <w:rPr>
        <w:rFonts w:ascii="Arial" w:eastAsia="微软雅黑"/>
        <w:color w:val="808080"/>
        <w:sz w:val="16"/>
        <w:szCs w:val="16"/>
      </w:rPr>
      <w:fldChar w:fldCharType="separate"/>
    </w:r>
    <w:r>
      <w:rPr>
        <w:rFonts w:ascii="Arial" w:eastAsia="微软雅黑"/>
        <w:color w:val="808080"/>
        <w:sz w:val="16"/>
        <w:szCs w:val="16"/>
      </w:rPr>
      <w:fldChar w:fldCharType="end"/>
    </w:r>
    <w:r>
      <w:rPr>
        <w:rFonts w:ascii="Arial" w:eastAsia="微软雅黑"/>
        <w:color w:val="808080"/>
        <w:sz w:val="16"/>
        <w:szCs w:val="16"/>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useFELayout/>
    <w:compatSetting w:name="compatibilityMode" w:uri="http://schemas.microsoft.com/office/word" w:val="15"/>
  </w:compat>
  <w:rsids>
    <w:rsidRoot w:val="00000000"/>
    <w:rsid w:val="198E454D"/>
    <w:rsid w:val="63CE43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Theme="minorHAnsi"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eastAsia="微软雅黑"/>
      <w:color w:val="1A1A1A"/>
      <w:sz w:val="24"/>
      <w:szCs w:val="24"/>
    </w:rPr>
  </w:style>
  <w:style w:type="paragraph" w:styleId="2">
    <w:name w:val="heading 1"/>
    <w:next w:val="1"/>
    <w:qFormat/>
    <w:uiPriority w:val="0"/>
    <w:pPr>
      <w:spacing w:before="360" w:after="160"/>
      <w:jc w:val="left"/>
      <w:outlineLvl w:val="0"/>
    </w:pPr>
    <w:rPr>
      <w:rFonts w:ascii="Arial" w:eastAsia="微软雅黑"/>
      <w:b/>
      <w:bCs/>
      <w:color w:val="1F3A5F"/>
      <w:sz w:val="32"/>
      <w:szCs w:val="32"/>
    </w:rPr>
  </w:style>
  <w:style w:type="paragraph" w:styleId="3">
    <w:name w:val="heading 2"/>
    <w:next w:val="1"/>
    <w:qFormat/>
    <w:uiPriority w:val="0"/>
    <w:pPr>
      <w:spacing w:before="280" w:after="120"/>
      <w:jc w:val="left"/>
      <w:outlineLvl w:val="1"/>
    </w:pPr>
    <w:rPr>
      <w:rFonts w:ascii="Arial" w:eastAsia="微软雅黑"/>
      <w:b/>
      <w:bCs/>
      <w:color w:val="3B6CA8"/>
      <w:sz w:val="28"/>
      <w:szCs w:val="28"/>
    </w:rPr>
  </w:style>
  <w:style w:type="paragraph" w:styleId="4">
    <w:name w:val="heading 3"/>
    <w:next w:val="1"/>
    <w:qFormat/>
    <w:uiPriority w:val="0"/>
    <w:pPr>
      <w:jc w:val="left"/>
    </w:pPr>
    <w:rPr>
      <w:rFonts w:ascii="Arial" w:eastAsia="微软雅黑"/>
      <w:color w:val="1F4D78"/>
      <w:sz w:val="24"/>
      <w:szCs w:val="24"/>
    </w:rPr>
  </w:style>
  <w:style w:type="paragraph" w:styleId="5">
    <w:name w:val="heading 4"/>
    <w:next w:val="1"/>
    <w:qFormat/>
    <w:uiPriority w:val="0"/>
    <w:pPr>
      <w:jc w:val="left"/>
    </w:pPr>
    <w:rPr>
      <w:rFonts w:ascii="Arial" w:eastAsia="微软雅黑"/>
      <w:i/>
      <w:iCs/>
      <w:color w:val="2E74B5"/>
      <w:sz w:val="24"/>
      <w:szCs w:val="24"/>
    </w:rPr>
  </w:style>
  <w:style w:type="paragraph" w:styleId="6">
    <w:name w:val="heading 5"/>
    <w:next w:val="1"/>
    <w:qFormat/>
    <w:uiPriority w:val="0"/>
    <w:pPr>
      <w:jc w:val="left"/>
    </w:pPr>
    <w:rPr>
      <w:rFonts w:ascii="Arial" w:eastAsia="微软雅黑"/>
      <w:color w:val="2E74B5"/>
      <w:sz w:val="24"/>
      <w:szCs w:val="24"/>
    </w:rPr>
  </w:style>
  <w:style w:type="paragraph" w:styleId="7">
    <w:name w:val="heading 6"/>
    <w:next w:val="1"/>
    <w:qFormat/>
    <w:uiPriority w:val="0"/>
    <w:pPr>
      <w:jc w:val="left"/>
    </w:pPr>
    <w:rPr>
      <w:rFonts w:ascii="Arial" w:eastAsia="微软雅黑"/>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jc w:val="left"/>
    </w:pPr>
    <w:rPr>
      <w:rFonts w:ascii="Arial" w:eastAsia="微软雅黑"/>
      <w:color w:val="1A1A1A"/>
      <w:sz w:val="20"/>
      <w:szCs w:val="20"/>
    </w:rPr>
  </w:style>
  <w:style w:type="paragraph" w:styleId="9">
    <w:name w:val="footnote text"/>
    <w:link w:val="17"/>
    <w:semiHidden/>
    <w:unhideWhenUsed/>
    <w:qFormat/>
    <w:uiPriority w:val="99"/>
    <w:pPr>
      <w:spacing w:after="0" w:line="240" w:lineRule="auto"/>
      <w:jc w:val="left"/>
    </w:pPr>
    <w:rPr>
      <w:rFonts w:ascii="Arial" w:eastAsia="微软雅黑"/>
      <w:color w:val="1A1A1A"/>
      <w:sz w:val="20"/>
      <w:szCs w:val="20"/>
    </w:rPr>
  </w:style>
  <w:style w:type="paragraph" w:styleId="10">
    <w:name w:val="Title"/>
    <w:qFormat/>
    <w:uiPriority w:val="0"/>
    <w:pPr>
      <w:jc w:val="left"/>
    </w:pPr>
    <w:rPr>
      <w:rFonts w:ascii="Arial" w:eastAsia="微软雅黑"/>
      <w:color w:val="1A1A1A"/>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pPr>
      <w:jc w:val="left"/>
    </w:pPr>
    <w:rPr>
      <w:rFonts w:ascii="Arial" w:eastAsia="微软雅黑"/>
      <w:color w:val="1A1A1A"/>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1840</Words>
  <Characters>1883</Characters>
  <TotalTime>3</TotalTime>
  <ScaleCrop>false</ScaleCrop>
  <LinksUpToDate>false</LinksUpToDate>
  <CharactersWithSpaces>1891</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2026-09-02T01:10:00Z</dcterms:created>
  <dc:creator>Un-named</dc:creator>
  <cp:lastModifiedBy>王韬</cp:lastModifiedBy>
  <dcterms:modified xsi:type="dcterms:W3CDTF">2026-09-02T01:18:49Z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eyJoZGlkIjoiYzJiOTE4N2E4YzdmZjBiYmEzODZmZTVmMzQ3YWI2ODciLCJ1c2VySWQiOiIzNTM4ODEyNDEifQ==</vt:lpwstr>
  </property>
  <property fmtid="{D5CDD505-2E9C-101B-9397-08002B2CF9AE}" pid="3" name="KSOProductBuildVer">
    <vt:lpwstr>2052-12.1.0.28505</vt:lpwstr>
  </property>
  <property fmtid="{D5CDD505-2E9C-101B-9397-08002B2CF9AE}" pid="4" name="ICV">
    <vt:lpwstr>05C1B9E2F2C143F9B2C7BD7F0C19C368_13</vt:lpwstr>
  </property>
</Properties>
</file>