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image/png" PartName="/media/background.png"/>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xml"/>
  <Override ContentType="image/png" PartName="/word/media/header_image_rId2.png"/>
  <Override ContentType="image/png" PartName="/word/media/header_image_rId3.png"/>
  <Override ContentType="image/png" PartName="/word/media/header_image_rId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
    <Relationship Target="word/document.xml" Type="http://schemas.openxmlformats.org/officeDocument/2006/relationships/officeDocument" Id="rId4"/>
    <Relationship Target="docProps/core.xml" Type="http://schemas.openxmlformats.org/package/2006/relationships/metadata/core-properties" Id="rId2"/>
    <Relationship Target="docProps/app.xml" Type="http://schemas.openxmlformats.org/officeDocument/2006/relationships/extended-properties" Id="rId1"/>
    <Relationship Target="docProps/custom.xml" Type="http://schemas.openxmlformats.org/officeDocument/2006/relationships/custom-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p14">
  <w:body>
    <!-- Modified by docx4j 6.1.0 (Apache licensed) using REFERENCE JAXB in IcedTea Java 1.8.0_345 on Linux -->
    <w:p>
      <w:pPr>
        <w:pageBreakBefore w:val="false"/>
        <w:widowControl w:val="false"/>
        <w:kinsoku/>
        <w:wordWrap/>
        <w:overflowPunct/>
        <w:topLinePunct w:val="false"/>
        <w:autoSpaceDE/>
        <w:autoSpaceDN/>
        <w:bidi w:val="false"/>
        <w:adjustRightInd/>
        <w:snapToGrid/>
        <w:spacing w:line="360" w:lineRule="auto"/>
        <w:jc w:val="center"/>
        <w:textAlignment w:val="auto"/>
        <w:rPr>
          <w:rFonts w:hint="eastAsia" w:ascii="华文中宋" w:hAnsi="华文中宋" w:eastAsia="华文中宋" w:cs="宋体-18030"/>
          <w:b/>
          <w:sz w:val="44"/>
          <w:szCs w:val="44"/>
          <w:highlight w:val="none"/>
        </w:rPr>
      </w:pPr>
      <w:bookmarkStart w:name="_Toc520214807" w:id="0"/>
      <w:r>
        <w:rPr>
          <w:rFonts w:hint="eastAsia" w:ascii="华文中宋" w:hAnsi="华文中宋" w:eastAsia="华文中宋" w:cs="宋体-18030"/>
          <w:b/>
          <w:color w:val="auto"/>
          <w:sz w:val="44"/>
          <w:szCs w:val="44"/>
          <w:highlight w:val="none"/>
        </w:rPr>
        <w:t>中国移动通信有限公司在线营销服务中心</w:t>
      </w:r>
      <w:r>
        <w:rPr>
          <w:rFonts w:hint="eastAsia" w:ascii="华文中宋" w:hAnsi="华文中宋" w:eastAsia="华文中宋" w:cs="宋体-18030"/>
          <w:b/>
          <w:sz w:val="44"/>
          <w:szCs w:val="44"/>
          <w:highlight w:val="none"/>
        </w:rPr>
        <w:t>采购供应商负面行为管理办法</w:t>
      </w:r>
      <w:bookmarkStart w:name="_GoBack" w:id="8"/>
      <w:bookmarkEnd w:id="8"/>
    </w:p>
    <w:p>
      <w:pPr>
        <w:pStyle w:val="2"/>
        <w:keepNext/>
        <w:keepLines/>
        <w:pageBreakBefore w:val="false"/>
        <w:widowControl w:val="false"/>
        <w:numPr>
          <w:ilvl w:val="0"/>
          <w:numId w:val="2"/>
        </w:numPr>
        <w:kinsoku/>
        <w:wordWrap/>
        <w:overflowPunct/>
        <w:topLinePunct w:val="false"/>
        <w:autoSpaceDE/>
        <w:autoSpaceDN/>
        <w:bidi w:val="false"/>
        <w:adjustRightInd/>
        <w:snapToGrid/>
        <w:spacing w:line="360" w:lineRule="auto"/>
        <w:ind w:left="0" w:right="0" w:rightChars="0" w:firstLine="0" w:firstLineChars="0"/>
        <w:jc w:val="center"/>
        <w:textAlignment w:val="auto"/>
        <w:rPr>
          <w:rFonts w:hint="eastAsia" w:ascii="黑体" w:hAnsi="黑体" w:eastAsia="黑体" w:cs="FangSong_GB2312,Bold"/>
          <w:b/>
          <w:bCs/>
          <w:kern w:val="0"/>
          <w:sz w:val="32"/>
          <w:szCs w:val="32"/>
          <w:highlight w:val="none"/>
        </w:rPr>
      </w:pPr>
      <w:r>
        <w:rPr>
          <w:rFonts w:hint="eastAsia" w:ascii="黑体" w:hAnsi="黑体" w:eastAsia="黑体" w:cs="FangSong_GB2312,Bold"/>
          <w:b/>
          <w:bCs/>
          <w:kern w:val="0"/>
          <w:sz w:val="32"/>
          <w:szCs w:val="32"/>
          <w:highlight w:val="none"/>
        </w:rPr>
        <w:t>总  则</w:t>
      </w:r>
      <w:bookmarkEnd w:id="0"/>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为进一步加强</w:t>
      </w:r>
      <w:r>
        <w:rPr>
          <w:rFonts w:hint="eastAsia" w:ascii="仿宋_GB2312" w:hAnsi="Calibri" w:eastAsia="仿宋_GB2312"/>
          <w:sz w:val="32"/>
          <w:szCs w:val="32"/>
          <w:highlight w:val="none"/>
        </w:rPr>
        <w:t>中国移动通信有限公司在线营销服务中心（以下简称“中心”）</w:t>
      </w:r>
      <w:r>
        <w:rPr>
          <w:rFonts w:hint="eastAsia" w:ascii="仿宋_GB2312" w:hAnsi="仿宋_GB2312" w:eastAsia="仿宋_GB2312" w:cs="仿宋_GB2312"/>
          <w:sz w:val="32"/>
          <w:szCs w:val="32"/>
          <w:highlight w:val="none"/>
        </w:rPr>
        <w:t>采购供应商负面行为处理工作的管理，规范责任追究标准和工作流程，推进供应商诚信体系建设，依据</w:t>
      </w:r>
      <w:r>
        <w:rPr>
          <w:rFonts w:hint="eastAsia" w:ascii="仿宋_GB2312" w:eastAsia="仿宋_GB2312"/>
          <w:b w:val="false"/>
          <w:bCs w:val="false"/>
          <w:sz w:val="32"/>
          <w:szCs w:val="32"/>
          <w:highlight w:val="none"/>
          <w:lang w:eastAsia="zh-CN"/>
        </w:rPr>
        <w:t>《中国移动集中采购供应商管理办法》</w:t>
      </w:r>
      <w:r>
        <w:rPr>
          <w:rFonts w:hint="eastAsia" w:ascii="仿宋_GB2312" w:hAnsi="仿宋_GB2312" w:eastAsia="仿宋_GB2312" w:cs="仿宋_GB2312"/>
          <w:sz w:val="32"/>
          <w:szCs w:val="32"/>
          <w:highlight w:val="none"/>
        </w:rPr>
        <w:t>、《中国移动一级集中采购供应商负面行为管理办法》等相关法律法规及管理制度，制定本办法。</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Calibri" w:eastAsia="仿宋_GB2312"/>
          <w:sz w:val="32"/>
          <w:szCs w:val="32"/>
          <w:highlight w:val="none"/>
        </w:rPr>
        <w:t>本办法</w:t>
      </w:r>
      <w:bookmarkStart w:name="_Hlk55923949" w:id="1"/>
      <w:r>
        <w:rPr>
          <w:rFonts w:hint="eastAsia" w:ascii="仿宋_GB2312" w:hAnsi="Calibri" w:eastAsia="仿宋_GB2312"/>
          <w:sz w:val="32"/>
          <w:szCs w:val="32"/>
          <w:highlight w:val="none"/>
        </w:rPr>
        <w:t>适用于中国移动通信有限公司在线营销服务中心（以下简称“中心”）、中移在线服务有限公司（以下简称“在线服务公司”）、中国移动通信有限公司销售</w:t>
      </w:r>
      <w:r>
        <w:rPr>
          <w:rFonts w:hint="eastAsia" w:ascii="仿宋_GB2312" w:hAnsi="Calibri" w:eastAsia="仿宋_GB2312"/>
          <w:sz w:val="32"/>
          <w:szCs w:val="32"/>
          <w:highlight w:val="none"/>
          <w:lang w:eastAsia="zh-CN"/>
        </w:rPr>
        <w:t>分中心</w:t>
      </w:r>
      <w:r>
        <w:rPr>
          <w:rFonts w:hint="eastAsia" w:ascii="仿宋_GB2312" w:hAnsi="Calibri" w:eastAsia="仿宋_GB2312"/>
          <w:sz w:val="32"/>
          <w:szCs w:val="32"/>
          <w:highlight w:val="none"/>
        </w:rPr>
        <w:t>（以下简称“销售</w:t>
      </w:r>
      <w:r>
        <w:rPr>
          <w:rFonts w:hint="eastAsia" w:ascii="仿宋_GB2312" w:hAnsi="Calibri" w:eastAsia="仿宋_GB2312"/>
          <w:sz w:val="32"/>
          <w:szCs w:val="32"/>
          <w:highlight w:val="none"/>
          <w:lang w:eastAsia="zh-CN"/>
        </w:rPr>
        <w:t>分中心</w:t>
      </w:r>
      <w:r>
        <w:rPr>
          <w:rFonts w:hint="eastAsia" w:ascii="仿宋_GB2312" w:hAnsi="Calibri" w:eastAsia="仿宋_GB2312"/>
          <w:sz w:val="32"/>
          <w:szCs w:val="32"/>
          <w:highlight w:val="none"/>
        </w:rPr>
        <w:t>”）的各单位</w:t>
      </w:r>
      <w:bookmarkEnd w:id="1"/>
      <w:r>
        <w:rPr>
          <w:rFonts w:hint="eastAsia" w:ascii="仿宋_GB2312" w:hAnsi="仿宋_GB2312" w:eastAsia="仿宋_GB2312" w:cs="仿宋_GB2312"/>
          <w:sz w:val="32"/>
          <w:szCs w:val="32"/>
          <w:highlight w:val="none"/>
        </w:rPr>
        <w:t>。</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其他涉及特殊业务类型采购供应商负面行为管理的相关办法，对采购供应商负面行为管理严于本办法的，从其规定，否则，遵照本办法执行。</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本办法所称供应商是指已经或潜在向公司提供工程、货物或服务的法人、其他组织或自然人。</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本办法所称采购是指</w:t>
      </w:r>
      <w:r>
        <w:rPr>
          <w:rFonts w:hint="eastAsia" w:ascii="仿宋_GB2312" w:hAnsi="Calibri" w:eastAsia="仿宋_GB2312"/>
          <w:sz w:val="32"/>
          <w:szCs w:val="32"/>
          <w:highlight w:val="none"/>
        </w:rPr>
        <w:t>中国移动通信有限公司在线营销服务中心（以下简称“中心”）</w:t>
      </w:r>
      <w:r>
        <w:rPr>
          <w:rFonts w:hint="eastAsia" w:ascii="仿宋_GB2312" w:hAnsi="仿宋_GB2312" w:eastAsia="仿宋_GB2312" w:cs="仿宋_GB2312"/>
          <w:sz w:val="32"/>
          <w:szCs w:val="32"/>
          <w:highlight w:val="none"/>
        </w:rPr>
        <w:t>组织实施的采购项目。</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采购产品和服务因竞争性差异分为不充分竞争采购领域和充分竞争采购领域2个领域。具备以下条件之一的为不充分竞争采购领域的产品或服务。</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（一）现网已经大量应用且短期内无法停止合作的；</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（二）</w:t>
      </w:r>
      <w:r>
        <w:rPr>
          <w:rFonts w:hint="eastAsia" w:ascii="仿宋_GB2312" w:hAnsi="仿宋_GB2312" w:cs="仿宋_GB2312"/>
          <w:sz w:val="32"/>
          <w:szCs w:val="32"/>
          <w:highlight w:val="none"/>
          <w:lang w:val="en-US" w:eastAsia="zh-CN"/>
        </w:rPr>
        <w:t>对</w:t>
      </w:r>
      <w:r>
        <w:rPr>
          <w:rFonts w:hint="eastAsia" w:ascii="仿宋_GB2312" w:hAnsi="仿宋_GB2312" w:eastAsia="仿宋_GB2312" w:cs="仿宋_GB2312"/>
          <w:sz w:val="32"/>
          <w:szCs w:val="32"/>
          <w:highlight w:val="none"/>
        </w:rPr>
        <w:t>供应商依赖程度较高的；</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（三）减少个别供应商会对该类别产品竞争环境造成较大影响的；</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（四）其他不具备充分竞争条件的。</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除不充分竞争采购领域的产品和服务外，其余产品及服务均归属充分竞争采购领域。</w:t>
      </w:r>
    </w:p>
    <w:p>
      <w:pPr>
        <w:pStyle w:val="20"/>
        <w:keepNext w:val="false"/>
        <w:keepLines w:val="false"/>
        <w:pageBreakBefore w:val="false"/>
        <w:widowControl w:val="false"/>
        <w:numPr>
          <w:ilvl w:val="0"/>
          <w:numId w:val="0"/>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产品分类颗粒度标准及采购领域属性应与集中采购目录同步调整。确因市场竞争环境变化等情况需要实时进行调整的，应在编制采购方案时提出调整建议，并按照采购方案决策层级要求提交相应层级决策后方可实施。</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方正仿宋_GBK"/>
          <w:szCs w:val="32"/>
          <w:highlight w:val="none"/>
          <w:lang w:val="en-US" w:eastAsia="zh-CN"/>
        </w:rPr>
        <w:t>中心</w:t>
      </w:r>
      <w:r>
        <w:rPr>
          <w:rFonts w:ascii="仿宋_GB2312" w:hAnsi="方正仿宋_GBK"/>
          <w:szCs w:val="32"/>
          <w:highlight w:val="none"/>
        </w:rPr>
        <w:t>要做“重合同守信誉”的诚信企业典范</w:t>
      </w:r>
      <w:r>
        <w:rPr>
          <w:rFonts w:hint="default" w:ascii="仿宋_GB2312" w:hAnsi="方正仿宋_GBK"/>
          <w:szCs w:val="32"/>
          <w:highlight w:val="none"/>
        </w:rPr>
        <w:t>,充分体现中国移动良好</w:t>
      </w:r>
      <w:r>
        <w:rPr>
          <w:rFonts w:ascii="仿宋_GB2312" w:hAnsi="方正仿宋_GBK"/>
          <w:szCs w:val="32"/>
          <w:highlight w:val="none"/>
        </w:rPr>
        <w:t>的信誉和契约精神。本办法与供应商权利义务相关的内容均应纳入采购文件、合同等法律文件</w:t>
      </w:r>
      <w:r>
        <w:rPr>
          <w:rFonts w:hint="eastAsia" w:ascii="仿宋_GB2312" w:hAnsi="仿宋_GB2312" w:eastAsia="仿宋_GB2312" w:cs="仿宋_GB2312"/>
          <w:sz w:val="32"/>
          <w:szCs w:val="32"/>
          <w:highlight w:val="none"/>
        </w:rPr>
        <w:t>。</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供应商负面行为处理遵循“公开、公平、公正”的原则。</w:t>
      </w:r>
    </w:p>
    <w:p>
      <w:pPr>
        <w:pStyle w:val="2"/>
        <w:keepNext/>
        <w:keepLines/>
        <w:pageBreakBefore w:val="false"/>
        <w:widowControl w:val="false"/>
        <w:numPr>
          <w:ilvl w:val="0"/>
          <w:numId w:val="2"/>
        </w:numPr>
        <w:kinsoku/>
        <w:wordWrap/>
        <w:overflowPunct/>
        <w:topLinePunct w:val="false"/>
        <w:autoSpaceDE/>
        <w:autoSpaceDN/>
        <w:bidi w:val="false"/>
        <w:adjustRightInd/>
        <w:snapToGrid/>
        <w:spacing w:line="360" w:lineRule="auto"/>
        <w:ind w:left="0" w:right="0" w:rightChars="0" w:firstLine="0" w:firstLineChars="0"/>
        <w:jc w:val="center"/>
        <w:textAlignment w:val="auto"/>
        <w:rPr>
          <w:rFonts w:hint="eastAsia" w:ascii="黑体" w:hAnsi="黑体" w:eastAsia="黑体" w:cs="黑体"/>
          <w:sz w:val="32"/>
          <w:szCs w:val="32"/>
          <w:highlight w:val="none"/>
        </w:rPr>
      </w:pPr>
      <w:bookmarkStart w:name="_Toc520214808" w:id="2"/>
      <w:r>
        <w:rPr>
          <w:rFonts w:hint="eastAsia" w:ascii="黑体" w:hAnsi="黑体" w:eastAsia="黑体" w:cs="黑体"/>
          <w:sz w:val="32"/>
          <w:szCs w:val="32"/>
          <w:highlight w:val="none"/>
        </w:rPr>
        <w:t>职责分工</w:t>
      </w:r>
      <w:bookmarkEnd w:id="2"/>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采购部是公司采购供应商负面行为处理工作的归口管理部门，主要职责是：</w:t>
      </w:r>
    </w:p>
    <w:p>
      <w:pPr>
        <w:pStyle w:val="19"/>
        <w:keepNext w:val="false"/>
        <w:keepLines w:val="false"/>
        <w:pageBreakBefore w:val="false"/>
        <w:widowControl w:val="false"/>
        <w:numPr>
          <w:ilvl w:val="0"/>
          <w:numId w:val="4"/>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napToGrid w:val="false"/>
          <w:kern w:val="0"/>
          <w:sz w:val="32"/>
          <w:szCs w:val="32"/>
          <w:highlight w:val="none"/>
        </w:rPr>
      </w:pPr>
      <w:r>
        <w:rPr>
          <w:rFonts w:hint="eastAsia" w:ascii="仿宋_GB2312" w:hAnsi="仿宋_GB2312" w:eastAsia="仿宋_GB2312" w:cs="仿宋_GB2312"/>
          <w:snapToGrid w:val="false"/>
          <w:kern w:val="0"/>
          <w:sz w:val="32"/>
          <w:szCs w:val="32"/>
          <w:highlight w:val="none"/>
        </w:rPr>
        <w:t>负责制定</w:t>
      </w:r>
      <w:r>
        <w:rPr>
          <w:rFonts w:hint="eastAsia" w:ascii="仿宋_GB2312" w:hAnsi="仿宋_GB2312" w:cs="仿宋_GB2312"/>
          <w:snapToGrid w:val="false"/>
          <w:kern w:val="0"/>
          <w:sz w:val="32"/>
          <w:szCs w:val="32"/>
          <w:highlight w:val="none"/>
          <w:lang w:val="en-US" w:eastAsia="zh-CN"/>
        </w:rPr>
        <w:t>集中</w:t>
      </w:r>
      <w:r>
        <w:rPr>
          <w:rFonts w:hint="eastAsia" w:ascii="仿宋_GB2312" w:hAnsi="仿宋_GB2312" w:eastAsia="仿宋_GB2312" w:cs="仿宋_GB2312"/>
          <w:snapToGrid w:val="false"/>
          <w:kern w:val="0"/>
          <w:sz w:val="32"/>
          <w:szCs w:val="32"/>
          <w:highlight w:val="none"/>
        </w:rPr>
        <w:t>采购供应商负面行为处理工作的管理制度；</w:t>
      </w:r>
    </w:p>
    <w:p>
      <w:pPr>
        <w:pStyle w:val="19"/>
        <w:keepNext w:val="false"/>
        <w:keepLines w:val="false"/>
        <w:pageBreakBefore w:val="false"/>
        <w:widowControl w:val="false"/>
        <w:numPr>
          <w:ilvl w:val="0"/>
          <w:numId w:val="4"/>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napToGrid w:val="false"/>
          <w:kern w:val="0"/>
          <w:sz w:val="32"/>
          <w:szCs w:val="32"/>
          <w:highlight w:val="none"/>
        </w:rPr>
      </w:pPr>
      <w:r>
        <w:rPr>
          <w:rFonts w:hint="eastAsia" w:ascii="仿宋_GB2312" w:hAnsi="仿宋_GB2312" w:eastAsia="仿宋_GB2312" w:cs="仿宋_GB2312"/>
          <w:snapToGrid w:val="false"/>
          <w:kern w:val="0"/>
          <w:sz w:val="32"/>
          <w:szCs w:val="32"/>
          <w:highlight w:val="none"/>
        </w:rPr>
        <w:t>负责接收</w:t>
      </w:r>
      <w:r>
        <w:rPr>
          <w:rFonts w:hint="eastAsia" w:ascii="仿宋_GB2312" w:hAnsi="仿宋_GB2312" w:cs="仿宋_GB2312"/>
          <w:snapToGrid w:val="false"/>
          <w:kern w:val="0"/>
          <w:sz w:val="32"/>
          <w:szCs w:val="32"/>
          <w:highlight w:val="none"/>
          <w:lang w:val="en-US" w:eastAsia="zh-CN"/>
        </w:rPr>
        <w:t>集中</w:t>
      </w:r>
      <w:r>
        <w:rPr>
          <w:rFonts w:hint="eastAsia" w:ascii="仿宋_GB2312" w:hAnsi="仿宋_GB2312" w:eastAsia="仿宋_GB2312" w:cs="仿宋_GB2312"/>
          <w:snapToGrid w:val="false"/>
          <w:kern w:val="0"/>
          <w:sz w:val="32"/>
          <w:szCs w:val="32"/>
          <w:highlight w:val="none"/>
        </w:rPr>
        <w:t>采购供应商负面行为处理申请材料，确认供应商负面行为，提出对供应商负面行为的处理意见并提请决策审批，发布和执行供应商负面行为处理结果。</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各单位</w:t>
      </w:r>
      <w:r>
        <w:rPr>
          <w:rFonts w:hint="eastAsia" w:ascii="仿宋_GB2312" w:hAnsi="仿宋_GB2312" w:cs="仿宋_GB2312"/>
          <w:sz w:val="32"/>
          <w:szCs w:val="32"/>
          <w:highlight w:val="none"/>
          <w:lang w:val="en-US" w:eastAsia="zh-CN"/>
        </w:rPr>
        <w:t>及分中心需求部门、运维及相关职能部门</w:t>
      </w:r>
      <w:r>
        <w:rPr>
          <w:rFonts w:hint="eastAsia" w:ascii="仿宋_GB2312" w:hAnsi="仿宋_GB2312" w:eastAsia="仿宋_GB2312" w:cs="仿宋_GB2312"/>
          <w:sz w:val="32"/>
          <w:szCs w:val="32"/>
          <w:highlight w:val="none"/>
        </w:rPr>
        <w:t>负责将发现的涉及公司采购供应商负面行为的信息和证明材料以正式公文形式提交采购部。</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napToGrid w:val="false"/>
          <w:kern w:val="0"/>
          <w:sz w:val="32"/>
          <w:szCs w:val="32"/>
          <w:highlight w:val="none"/>
        </w:rPr>
      </w:pPr>
      <w:r>
        <w:rPr>
          <w:rFonts w:hint="eastAsia" w:ascii="仿宋_GB2312" w:hAnsi="仿宋_GB2312" w:eastAsia="仿宋_GB2312" w:cs="仿宋_GB2312"/>
          <w:sz w:val="32"/>
          <w:szCs w:val="32"/>
          <w:highlight w:val="none"/>
        </w:rPr>
        <w:t>各单位负责核实确认所发现的公司采购供应商负面行为，并将其负面行为的认定结论及证明材料以正式公文形式提交采购部。</w:t>
      </w:r>
    </w:p>
    <w:p>
      <w:pPr>
        <w:pStyle w:val="2"/>
        <w:keepNext/>
        <w:keepLines/>
        <w:pageBreakBefore w:val="false"/>
        <w:widowControl w:val="false"/>
        <w:numPr>
          <w:ilvl w:val="0"/>
          <w:numId w:val="2"/>
        </w:numPr>
        <w:kinsoku/>
        <w:wordWrap/>
        <w:overflowPunct/>
        <w:topLinePunct w:val="false"/>
        <w:autoSpaceDE/>
        <w:autoSpaceDN/>
        <w:bidi w:val="false"/>
        <w:adjustRightInd/>
        <w:snapToGrid/>
        <w:spacing w:line="360" w:lineRule="auto"/>
        <w:ind w:left="0" w:right="0" w:rightChars="0" w:firstLine="0" w:firstLineChars="0"/>
        <w:jc w:val="center"/>
        <w:textAlignment w:val="auto"/>
        <w:rPr>
          <w:rFonts w:hint="eastAsia" w:ascii="黑体" w:hAnsi="黑体" w:eastAsia="黑体" w:cs="黑体"/>
          <w:sz w:val="32"/>
          <w:szCs w:val="32"/>
          <w:highlight w:val="none"/>
        </w:rPr>
      </w:pPr>
      <w:bookmarkStart w:name="_Toc520214809" w:id="3"/>
      <w:r>
        <w:rPr>
          <w:rFonts w:hint="eastAsia" w:ascii="黑体" w:hAnsi="黑体" w:eastAsia="黑体" w:cs="黑体"/>
          <w:snapToGrid w:val="false"/>
          <w:kern w:val="0"/>
          <w:sz w:val="32"/>
          <w:szCs w:val="32"/>
          <w:highlight w:val="none"/>
        </w:rPr>
        <w:t>负面行</w:t>
      </w:r>
      <w:r>
        <w:rPr>
          <w:rFonts w:hint="eastAsia" w:ascii="黑体" w:hAnsi="黑体" w:eastAsia="黑体" w:cs="黑体"/>
          <w:sz w:val="32"/>
          <w:szCs w:val="32"/>
          <w:highlight w:val="none"/>
        </w:rPr>
        <w:t>为认定与分级</w:t>
      </w:r>
      <w:bookmarkEnd w:id="3"/>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供应商负面行为包括向采购人、采购评审委员会、采购代理人、检测单位</w:t>
      </w:r>
      <w:r>
        <w:rPr>
          <w:rFonts w:ascii="仿宋_GB2312" w:hAnsi="方正仿宋_GBK"/>
          <w:szCs w:val="32"/>
          <w:highlight w:val="none"/>
        </w:rPr>
        <w:t>等</w:t>
      </w:r>
      <w:r>
        <w:rPr>
          <w:rFonts w:hint="eastAsia" w:ascii="仿宋_GB2312" w:hAnsi="方正仿宋_GBK"/>
          <w:szCs w:val="32"/>
          <w:highlight w:val="none"/>
          <w:lang w:val="en-US" w:eastAsia="zh-CN"/>
        </w:rPr>
        <w:t>中心</w:t>
      </w:r>
      <w:r>
        <w:rPr>
          <w:rFonts w:ascii="仿宋_GB2312" w:hAnsi="方正仿宋_GBK"/>
          <w:szCs w:val="32"/>
          <w:highlight w:val="none"/>
        </w:rPr>
        <w:t>采购相关方及相关人员</w:t>
      </w:r>
      <w:r>
        <w:rPr>
          <w:rFonts w:hint="eastAsia" w:ascii="仿宋_GB2312" w:hAnsi="仿宋_GB2312" w:eastAsia="仿宋_GB2312" w:cs="仿宋_GB2312"/>
          <w:sz w:val="32"/>
          <w:szCs w:val="32"/>
          <w:highlight w:val="none"/>
        </w:rPr>
        <w:t>采购行贿或违法违规提供不正当利益的行为；参加采购活动期间，提供虚假资质或业绩证明材料或其他弄虚作假行为；采用串通等不正当手段谋取中标中选、诋毁排挤其他供应商或与检测单位串通伪造检测结果的行为；在合同履约过程中不诚信履约、出现质量不合格、交付延迟、服务不到位等行为以及其他经中国移动或</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（指</w:t>
      </w:r>
      <w:r>
        <w:rPr>
          <w:rFonts w:hint="eastAsia" w:ascii="仿宋_GB2312" w:hAnsi="Calibri" w:eastAsia="仿宋_GB2312"/>
          <w:sz w:val="32"/>
          <w:szCs w:val="32"/>
          <w:highlight w:val="none"/>
        </w:rPr>
        <w:t>中国移动通信有限公司在线营销服务中心</w:t>
      </w:r>
      <w:r>
        <w:rPr>
          <w:rFonts w:hint="eastAsia" w:ascii="仿宋_GB2312" w:hAnsi="仿宋_GB2312" w:eastAsia="仿宋_GB2312" w:cs="仿宋_GB2312"/>
          <w:sz w:val="32"/>
          <w:szCs w:val="32"/>
          <w:highlight w:val="none"/>
        </w:rPr>
        <w:t>，下同）认定的负面行为。</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根据供应商负面行为给</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通信网络建设、生产运营、优质服务、企业形象造成的负面影响程度和经济损失不同，依次分为一般负面行为、严重负面行为和特别严重负面行为。</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有下列情况之一者，为一般负面行为：</w:t>
      </w:r>
    </w:p>
    <w:p>
      <w:pPr>
        <w:pStyle w:val="19"/>
        <w:keepNext w:val="false"/>
        <w:keepLines w:val="false"/>
        <w:pageBreakBefore w:val="false"/>
        <w:widowControl w:val="false"/>
        <w:numPr>
          <w:ilvl w:val="0"/>
          <w:numId w:val="5"/>
        </w:numPr>
        <w:tabs>
          <w:tab w:val="left" w:pos="1580"/>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产品质量不符合合格标准，或延期交货，或服务不到位且被责任追究的；</w:t>
      </w:r>
    </w:p>
    <w:p>
      <w:pPr>
        <w:pStyle w:val="19"/>
        <w:keepNext w:val="false"/>
        <w:keepLines w:val="false"/>
        <w:pageBreakBefore w:val="false"/>
        <w:widowControl w:val="false"/>
        <w:numPr>
          <w:ilvl w:val="0"/>
          <w:numId w:val="5"/>
        </w:numPr>
        <w:tabs>
          <w:tab w:val="left" w:pos="1580"/>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cs="仿宋_GB2312"/>
          <w:sz w:val="32"/>
          <w:szCs w:val="32"/>
          <w:highlight w:val="none"/>
          <w:lang w:val="en-US" w:eastAsia="zh-CN"/>
        </w:rPr>
        <w:t>服务过程中，存在服务质量有偏差、履约不力等履约问题，且未造成重大服务和业务影响的；</w:t>
      </w:r>
    </w:p>
    <w:p>
      <w:pPr>
        <w:pStyle w:val="19"/>
        <w:keepNext w:val="false"/>
        <w:keepLines w:val="false"/>
        <w:pageBreakBefore w:val="false"/>
        <w:widowControl w:val="false"/>
        <w:numPr>
          <w:ilvl w:val="0"/>
          <w:numId w:val="5"/>
        </w:numPr>
        <w:tabs>
          <w:tab w:val="left" w:pos="1580"/>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故意修改采购文件明确列明的技术参数并进行响应的；</w:t>
      </w:r>
    </w:p>
    <w:p>
      <w:pPr>
        <w:pStyle w:val="19"/>
        <w:keepNext w:val="false"/>
        <w:keepLines w:val="false"/>
        <w:pageBreakBefore w:val="false"/>
        <w:widowControl w:val="false"/>
        <w:numPr>
          <w:ilvl w:val="0"/>
          <w:numId w:val="5"/>
        </w:numPr>
        <w:tabs>
          <w:tab w:val="left" w:pos="1580"/>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违约转包、分包合同货物/服务情节严重的；</w:t>
      </w:r>
    </w:p>
    <w:p>
      <w:pPr>
        <w:pStyle w:val="19"/>
        <w:keepNext w:val="false"/>
        <w:keepLines w:val="false"/>
        <w:pageBreakBefore w:val="false"/>
        <w:widowControl w:val="false"/>
        <w:numPr>
          <w:ilvl w:val="0"/>
          <w:numId w:val="5"/>
        </w:numPr>
        <w:tabs>
          <w:tab w:val="left" w:pos="1580"/>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ascii="仿宋_GB2312" w:hAnsi="方正仿宋_GBK"/>
          <w:szCs w:val="32"/>
          <w:highlight w:val="none"/>
        </w:rPr>
        <w:t>没有按照承诺使用承诺品牌、承诺参数的元器件或原材料被责任追究的，</w:t>
      </w:r>
      <w:r>
        <w:rPr>
          <w:rFonts w:hint="default" w:ascii="仿宋_GB2312" w:hAnsi="方正仿宋_GBK"/>
          <w:szCs w:val="32"/>
          <w:highlight w:val="none"/>
        </w:rPr>
        <w:t>或</w:t>
      </w:r>
      <w:r>
        <w:rPr>
          <w:rFonts w:ascii="仿宋_GB2312" w:hAnsi="方正仿宋_GBK"/>
          <w:szCs w:val="32"/>
          <w:highlight w:val="none"/>
        </w:rPr>
        <w:t>供应产品到货配置与订单配置不一致</w:t>
      </w:r>
      <w:r>
        <w:rPr>
          <w:rFonts w:hint="eastAsia" w:ascii="仿宋_GB2312" w:hAnsi="方正仿宋_GBK"/>
          <w:szCs w:val="32"/>
          <w:highlight w:val="none"/>
          <w:lang w:val="en-US" w:eastAsia="zh-CN"/>
        </w:rPr>
        <w:t>且导致中国移动利益受损</w:t>
      </w:r>
      <w:r>
        <w:rPr>
          <w:rFonts w:ascii="仿宋_GB2312" w:hAnsi="方正仿宋_GBK"/>
          <w:szCs w:val="32"/>
          <w:highlight w:val="none"/>
        </w:rPr>
        <w:t>的</w:t>
      </w:r>
      <w:r>
        <w:rPr>
          <w:rFonts w:hint="eastAsia" w:ascii="仿宋_GB2312" w:hAnsi="仿宋_GB2312" w:eastAsia="仿宋_GB2312" w:cs="仿宋_GB2312"/>
          <w:sz w:val="32"/>
          <w:szCs w:val="32"/>
          <w:highlight w:val="none"/>
        </w:rPr>
        <w:t>；</w:t>
      </w:r>
    </w:p>
    <w:p>
      <w:pPr>
        <w:pStyle w:val="19"/>
        <w:keepNext w:val="false"/>
        <w:keepLines w:val="false"/>
        <w:pageBreakBefore w:val="false"/>
        <w:widowControl w:val="false"/>
        <w:numPr>
          <w:ilvl w:val="0"/>
          <w:numId w:val="5"/>
        </w:numPr>
        <w:tabs>
          <w:tab w:val="left" w:pos="1580"/>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ascii="仿宋_GB2312" w:hAnsi="方正仿宋_GBK"/>
          <w:szCs w:val="32"/>
          <w:highlight w:val="none"/>
        </w:rPr>
        <w:t>因供应商产品质量问题或供应商操作等原因造成中国移动网络故障，达到《电信网络运行监督管理办法》（工信部电管〔</w:t>
      </w:r>
      <w:r>
        <w:rPr>
          <w:rFonts w:hint="default" w:ascii="仿宋_GB2312" w:hAnsi="方正仿宋_GBK"/>
          <w:szCs w:val="32"/>
          <w:highlight w:val="none"/>
        </w:rPr>
        <w:t>2009〕187号,以下简称《监督管理办法》）</w:t>
      </w:r>
      <w:r>
        <w:rPr>
          <w:rFonts w:ascii="仿宋_GB2312" w:hAnsi="方正仿宋_GBK"/>
          <w:szCs w:val="32"/>
          <w:highlight w:val="none"/>
        </w:rPr>
        <w:t>定义的重大事故，或达到《中国移动全网重大通信故障定义》（以下简称《故障定义》）定义的故障情形且造成重大影响（被国家级新闻媒体和各大门户网站集体进行负面报道等情况）的重大事件。如前述事故或故障同时符合《监督管理办法》和《故障定义》的相应情形定义，则以《监督管理办法》定义的情形为准</w:t>
      </w:r>
      <w:r>
        <w:rPr>
          <w:rFonts w:hint="eastAsia" w:ascii="仿宋_GB2312" w:hAnsi="仿宋_GB2312" w:eastAsia="仿宋_GB2312" w:cs="仿宋_GB2312"/>
          <w:sz w:val="32"/>
          <w:szCs w:val="32"/>
          <w:highlight w:val="none"/>
        </w:rPr>
        <w:t>；</w:t>
      </w:r>
    </w:p>
    <w:p>
      <w:pPr>
        <w:pStyle w:val="19"/>
        <w:keepNext w:val="false"/>
        <w:keepLines w:val="false"/>
        <w:pageBreakBefore w:val="false"/>
        <w:widowControl w:val="false"/>
        <w:numPr>
          <w:ilvl w:val="0"/>
          <w:numId w:val="5"/>
        </w:numPr>
        <w:tabs>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其他经</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认定为一般负面行为的。</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有下列情况之一者，为严重负面行为：</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在采购活动中供应商以他人名义参加采购或弄虚作假的，包括但不限于使用伪造变造的许可证件，提供虚假的财务状况或者业绩，提供虚假的项目负责人或者主要技术人员简历、劳动关系证明，提供虚假的信用状况以及与检测单位串通伪造检测结果的行为等；</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在采购活动中供应商相互串通或者与采购人及采购相关方串通的，包括但不限于相互协商报价等实质性内容，约定中选人，约定部分供应商放弃参加采购或者中选，按照同一集团、协会、商会等组织要求协同投标，为谋取中选或者排斥特定供应商而采取联合行动，非法获知标底或评审委员会成员信息等；</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不按采购文件及应答文件承诺签订合同或框架协议的</w:t>
      </w:r>
      <w:r>
        <w:rPr>
          <w:rFonts w:hint="eastAsia" w:ascii="仿宋_GB2312" w:hAnsi="仿宋_GB2312" w:cs="仿宋_GB2312"/>
          <w:sz w:val="32"/>
          <w:szCs w:val="32"/>
          <w:highlight w:val="none"/>
          <w:lang w:eastAsia="zh-CN"/>
        </w:rPr>
        <w:t>，</w:t>
      </w:r>
      <w:r>
        <w:rPr>
          <w:rFonts w:ascii="仿宋_GB2312" w:hAnsi="方正仿宋_GBK"/>
          <w:szCs w:val="32"/>
          <w:highlight w:val="none"/>
        </w:rPr>
        <w:t>包括但不限于已列入中选候选人的供应商，在发布候选人公示之日后自愿放弃中选资格或拒绝签订合同文件的以及在合同执行过程中因非不可抗力因素不履约的</w:t>
      </w:r>
      <w:r>
        <w:rPr>
          <w:rFonts w:hint="eastAsia" w:ascii="仿宋_GB2312" w:hAnsi="仿宋_GB2312" w:eastAsia="仿宋_GB2312" w:cs="仿宋_GB2312"/>
          <w:sz w:val="32"/>
          <w:szCs w:val="32"/>
          <w:highlight w:val="none"/>
        </w:rPr>
        <w:t>；</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ascii="仿宋_GB2312" w:hAnsi="方正仿宋_GBK"/>
          <w:szCs w:val="32"/>
          <w:highlight w:val="none"/>
        </w:rPr>
        <w:t>对采购人或其他供应商进行诋毁、恶意异议或恶意</w:t>
      </w:r>
      <w:r>
        <w:rPr>
          <w:rFonts w:hint="default" w:ascii="仿宋_GB2312" w:hAnsi="方正仿宋_GBK"/>
          <w:szCs w:val="32"/>
          <w:highlight w:val="none"/>
        </w:rPr>
        <w:t>投诉的，或者对其他供应商、采购人等采购活动的相关方采取威胁、欺骗等非法手段的。恶意异议</w:t>
      </w:r>
      <w:r>
        <w:rPr>
          <w:rFonts w:ascii="仿宋_GB2312" w:hAnsi="方正仿宋_GBK"/>
          <w:szCs w:val="32"/>
          <w:highlight w:val="none"/>
        </w:rPr>
        <w:t>或恶意</w:t>
      </w:r>
      <w:r>
        <w:rPr>
          <w:rFonts w:hint="default" w:ascii="仿宋_GB2312" w:hAnsi="方正仿宋_GBK"/>
          <w:szCs w:val="32"/>
          <w:highlight w:val="none"/>
        </w:rPr>
        <w:t>投诉包括但不限于捏造事实</w:t>
      </w:r>
      <w:r>
        <w:rPr>
          <w:rFonts w:ascii="仿宋_GB2312" w:hAnsi="方正仿宋_GBK"/>
          <w:szCs w:val="32"/>
          <w:highlight w:val="none"/>
        </w:rPr>
        <w:t>，</w:t>
      </w:r>
      <w:r>
        <w:rPr>
          <w:rFonts w:hint="default" w:ascii="仿宋_GB2312" w:hAnsi="方正仿宋_GBK"/>
          <w:szCs w:val="32"/>
          <w:highlight w:val="none"/>
        </w:rPr>
        <w:t>伪造材料</w:t>
      </w:r>
      <w:r>
        <w:rPr>
          <w:rFonts w:ascii="仿宋_GB2312" w:hAnsi="方正仿宋_GBK"/>
          <w:szCs w:val="32"/>
          <w:highlight w:val="none"/>
        </w:rPr>
        <w:t>，</w:t>
      </w:r>
      <w:r>
        <w:rPr>
          <w:rFonts w:hint="default" w:ascii="仿宋_GB2312" w:hAnsi="方正仿宋_GBK"/>
          <w:szCs w:val="32"/>
          <w:highlight w:val="none"/>
        </w:rPr>
        <w:t>以非法手段取得证明材料</w:t>
      </w:r>
      <w:r>
        <w:rPr>
          <w:rFonts w:ascii="仿宋_GB2312" w:hAnsi="方正仿宋_GBK"/>
          <w:szCs w:val="32"/>
          <w:highlight w:val="none"/>
        </w:rPr>
        <w:t>，</w:t>
      </w:r>
      <w:r>
        <w:rPr>
          <w:rFonts w:hint="default" w:ascii="仿宋_GB2312" w:hAnsi="方正仿宋_GBK"/>
          <w:szCs w:val="32"/>
          <w:highlight w:val="none"/>
        </w:rPr>
        <w:t>异议</w:t>
      </w:r>
      <w:r>
        <w:rPr>
          <w:rFonts w:ascii="仿宋_GB2312" w:hAnsi="方正仿宋_GBK"/>
          <w:szCs w:val="32"/>
          <w:highlight w:val="none"/>
        </w:rPr>
        <w:t>或</w:t>
      </w:r>
      <w:r>
        <w:rPr>
          <w:rFonts w:hint="default" w:ascii="仿宋_GB2312" w:hAnsi="方正仿宋_GBK"/>
          <w:szCs w:val="32"/>
          <w:highlight w:val="none"/>
        </w:rPr>
        <w:t>投诉受理并正式答复后，在不能提供新的有效</w:t>
      </w:r>
      <w:r>
        <w:rPr>
          <w:rFonts w:ascii="仿宋_GB2312" w:hAnsi="方正仿宋_GBK"/>
          <w:szCs w:val="32"/>
          <w:highlight w:val="none"/>
        </w:rPr>
        <w:t>证据情况下仍就同一问题再次进行异议或</w:t>
      </w:r>
      <w:r>
        <w:rPr>
          <w:rFonts w:hint="default" w:ascii="仿宋_GB2312" w:hAnsi="方正仿宋_GBK"/>
          <w:szCs w:val="32"/>
          <w:highlight w:val="none"/>
        </w:rPr>
        <w:t>投诉的</w:t>
      </w:r>
      <w:r>
        <w:rPr>
          <w:rFonts w:ascii="仿宋_GB2312" w:hAnsi="方正仿宋_GBK"/>
          <w:szCs w:val="32"/>
          <w:highlight w:val="none"/>
        </w:rPr>
        <w:t>行为</w:t>
      </w:r>
      <w:r>
        <w:rPr>
          <w:rFonts w:hint="default" w:ascii="仿宋_GB2312" w:hAnsi="方正仿宋_GBK"/>
          <w:szCs w:val="32"/>
          <w:highlight w:val="none"/>
        </w:rPr>
        <w:t>等</w:t>
      </w:r>
      <w:r>
        <w:rPr>
          <w:rFonts w:hint="eastAsia" w:ascii="仿宋_GB2312" w:hAnsi="仿宋_GB2312" w:eastAsia="仿宋_GB2312" w:cs="仿宋_GB2312"/>
          <w:sz w:val="32"/>
          <w:szCs w:val="32"/>
          <w:highlight w:val="none"/>
        </w:rPr>
        <w:t>；</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因供应商产品质量问题或供应商操作等原因造成中国移动网络故障，并达到《监督管理办法》定义的特别重大事故；</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因供应商产品质量问题或供应商操作等原因造成中国移动安全生产事故，并达到国家《生产安全事故报告和调查处理条例》（国务院令第493号，以下简称《生产安全事故条例》）定义的一般事故级别的；</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ascii="仿宋_GB2312" w:hAnsi="方正仿宋_GBK"/>
          <w:szCs w:val="32"/>
          <w:highlight w:val="none"/>
        </w:rPr>
        <w:t>违反合同保密条款的；</w:t>
      </w:r>
    </w:p>
    <w:p>
      <w:pPr>
        <w:pStyle w:val="19"/>
        <w:keepNext w:val="false"/>
        <w:keepLines w:val="false"/>
        <w:pageBreakBefore w:val="false"/>
        <w:widowControl w:val="false"/>
        <w:numPr>
          <w:ilvl w:val="0"/>
          <w:numId w:val="6"/>
        </w:numPr>
        <w:tabs>
          <w:tab w:val="left" w:pos="1620"/>
          <w:tab w:val="clear" w:pos="108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其他经</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认定为严重负面行为的。</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有下列情况之一者，为特别严重负面行为：</w:t>
      </w:r>
    </w:p>
    <w:p>
      <w:pPr>
        <w:pStyle w:val="19"/>
        <w:keepNext w:val="false"/>
        <w:keepLines w:val="false"/>
        <w:pageBreakBefore w:val="false"/>
        <w:widowControl w:val="false"/>
        <w:numPr>
          <w:ilvl w:val="0"/>
          <w:numId w:val="7"/>
        </w:numPr>
        <w:tabs>
          <w:tab w:val="left" w:pos="1619"/>
        </w:tabs>
        <w:kinsoku/>
        <w:wordWrap/>
        <w:overflowPunct/>
        <w:topLinePunct w:val="false"/>
        <w:autoSpaceDE/>
        <w:autoSpaceDN/>
        <w:bidi w:val="false"/>
        <w:adjustRightInd/>
        <w:snapToGrid/>
        <w:spacing w:line="360" w:lineRule="auto"/>
        <w:ind w:left="0" w:leftChars="0" w:firstLine="640" w:firstLineChars="200"/>
        <w:jc w:val="left"/>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司法、纪检监察部门认定供应商向采购人、评审委员会成员、采购代理机构、检测单位等</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采购相关方及相关人员行贿或违法违规提供不正当利益的；</w:t>
      </w:r>
    </w:p>
    <w:p>
      <w:pPr>
        <w:pStyle w:val="19"/>
        <w:keepNext w:val="false"/>
        <w:keepLines w:val="false"/>
        <w:pageBreakBefore w:val="false"/>
        <w:widowControl w:val="false"/>
        <w:numPr>
          <w:ilvl w:val="0"/>
          <w:numId w:val="7"/>
        </w:numPr>
        <w:tabs>
          <w:tab w:val="left" w:pos="1620"/>
        </w:tabs>
        <w:kinsoku/>
        <w:wordWrap/>
        <w:overflowPunct/>
        <w:topLinePunct w:val="false"/>
        <w:autoSpaceDE/>
        <w:autoSpaceDN/>
        <w:bidi w:val="false"/>
        <w:adjustRightInd/>
        <w:snapToGrid/>
        <w:spacing w:line="360" w:lineRule="auto"/>
        <w:ind w:left="0" w:leftChars="0" w:firstLine="640" w:firstLineChars="200"/>
        <w:jc w:val="left"/>
        <w:textAlignment w:val="baseline"/>
        <w:rPr>
          <w:rFonts w:hint="eastAsia" w:ascii="仿宋_GB2312" w:hAnsi="仿宋_GB2312" w:eastAsia="仿宋_GB2312" w:cs="仿宋_GB2312"/>
          <w:sz w:val="32"/>
          <w:szCs w:val="32"/>
          <w:highlight w:val="none"/>
        </w:rPr>
      </w:pPr>
      <w:r>
        <w:rPr>
          <w:rFonts w:ascii="仿宋_GB2312" w:hAnsi="方正仿宋_GBK"/>
          <w:szCs w:val="32"/>
          <w:highlight w:val="none"/>
        </w:rPr>
        <w:t>因供应商产品质量问题或供应商操作等原因造成中国移动安全生产事故，并达到《生产安全事故条例》定义的较大事故及以上级别事故的</w:t>
      </w:r>
      <w:r>
        <w:rPr>
          <w:rFonts w:hint="eastAsia" w:ascii="仿宋_GB2312" w:hAnsi="仿宋_GB2312" w:eastAsia="仿宋_GB2312" w:cs="仿宋_GB2312"/>
          <w:sz w:val="32"/>
          <w:szCs w:val="32"/>
          <w:highlight w:val="none"/>
        </w:rPr>
        <w:t>；</w:t>
      </w:r>
    </w:p>
    <w:p>
      <w:pPr>
        <w:pStyle w:val="19"/>
        <w:keepNext w:val="false"/>
        <w:keepLines w:val="false"/>
        <w:pageBreakBefore w:val="false"/>
        <w:widowControl w:val="false"/>
        <w:numPr>
          <w:ilvl w:val="0"/>
          <w:numId w:val="7"/>
        </w:numPr>
        <w:tabs>
          <w:tab w:val="left" w:pos="1620"/>
        </w:tabs>
        <w:kinsoku/>
        <w:wordWrap/>
        <w:overflowPunct/>
        <w:topLinePunct w:val="false"/>
        <w:autoSpaceDE/>
        <w:autoSpaceDN/>
        <w:bidi w:val="false"/>
        <w:adjustRightInd/>
        <w:snapToGrid/>
        <w:spacing w:line="360" w:lineRule="auto"/>
        <w:ind w:left="0" w:leftChars="0" w:firstLine="640" w:firstLineChars="200"/>
        <w:jc w:val="left"/>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其他经</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认定为特别严重负面行为的。</w:t>
      </w:r>
    </w:p>
    <w:p>
      <w:pPr>
        <w:pStyle w:val="2"/>
        <w:keepNext/>
        <w:keepLines/>
        <w:pageBreakBefore w:val="false"/>
        <w:widowControl w:val="false"/>
        <w:numPr>
          <w:ilvl w:val="0"/>
          <w:numId w:val="2"/>
        </w:numPr>
        <w:kinsoku/>
        <w:wordWrap/>
        <w:overflowPunct/>
        <w:topLinePunct w:val="false"/>
        <w:autoSpaceDE/>
        <w:autoSpaceDN/>
        <w:bidi w:val="false"/>
        <w:adjustRightInd/>
        <w:snapToGrid/>
        <w:spacing w:line="360" w:lineRule="auto"/>
        <w:ind w:left="0" w:right="0" w:rightChars="0" w:firstLine="0" w:firstLineChars="0"/>
        <w:jc w:val="center"/>
        <w:textAlignment w:val="auto"/>
        <w:rPr>
          <w:rFonts w:hint="eastAsia" w:ascii="黑体" w:hAnsi="黑体" w:eastAsia="黑体" w:cs="黑体"/>
          <w:sz w:val="32"/>
          <w:szCs w:val="32"/>
          <w:highlight w:val="none"/>
        </w:rPr>
      </w:pPr>
      <w:bookmarkStart w:name="_Toc520214810" w:id="4"/>
      <w:r>
        <w:rPr>
          <w:rFonts w:hint="eastAsia" w:ascii="黑体" w:hAnsi="黑体" w:eastAsia="黑体" w:cs="黑体"/>
          <w:sz w:val="32"/>
          <w:szCs w:val="32"/>
          <w:highlight w:val="none"/>
        </w:rPr>
        <w:t>责任追究措施</w:t>
      </w:r>
      <w:bookmarkEnd w:id="4"/>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供应商因其负面行为被追究责任的，其基于合同约定应承担的违约责任仍应继续承担。对供应商负面行为的处理不替代对供应商合同项下法律责任的追究。</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ascii="仿宋_GB2312" w:hAnsi="方正仿宋_GBK"/>
          <w:szCs w:val="32"/>
          <w:highlight w:val="none"/>
        </w:rPr>
        <w:t>根据供应商负面行为分级情况和产品是否充分竞争属性不同，对发生负面行为的供应商给予所有充分竞争采购领域的产品禁止合作三年、相应产品类别禁止合作三年、扣减后续采购综合评审得分或绩效评估得分、终止剩余份额执行等追究措施</w:t>
      </w:r>
      <w:r>
        <w:rPr>
          <w:rFonts w:hint="eastAsia" w:ascii="仿宋_GB2312" w:hAnsi="仿宋_GB2312" w:eastAsia="仿宋_GB2312" w:cs="仿宋_GB2312"/>
          <w:sz w:val="32"/>
          <w:szCs w:val="32"/>
          <w:highlight w:val="none"/>
        </w:rPr>
        <w:t>。</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ascii="仿宋_GB2312" w:hAnsi="方正仿宋_GBK"/>
          <w:szCs w:val="32"/>
          <w:highlight w:val="none"/>
        </w:rPr>
        <w:t>供应商人员或其他相关人员实施行贿或提供不正当利益的，应处以行贿人员禁入，终身不得代表任何供应商参与</w:t>
      </w:r>
      <w:r>
        <w:rPr>
          <w:rFonts w:hint="eastAsia" w:ascii="仿宋_GB2312" w:hAnsi="方正仿宋_GBK"/>
          <w:szCs w:val="32"/>
          <w:highlight w:val="none"/>
          <w:lang w:val="en-US" w:eastAsia="zh-CN"/>
        </w:rPr>
        <w:t>中心</w:t>
      </w:r>
      <w:r>
        <w:rPr>
          <w:rFonts w:ascii="仿宋_GB2312" w:hAnsi="方正仿宋_GBK"/>
          <w:szCs w:val="32"/>
          <w:highlight w:val="none"/>
        </w:rPr>
        <w:t>的采购活动。行贿人员禁入情况应在</w:t>
      </w:r>
      <w:r>
        <w:rPr>
          <w:rFonts w:hint="eastAsia" w:ascii="仿宋_GB2312" w:hAnsi="方正仿宋_GBK"/>
          <w:szCs w:val="32"/>
          <w:highlight w:val="none"/>
          <w:lang w:val="en-US" w:eastAsia="zh-CN"/>
        </w:rPr>
        <w:t>中心</w:t>
      </w:r>
      <w:r>
        <w:rPr>
          <w:rFonts w:ascii="仿宋_GB2312" w:hAnsi="方正仿宋_GBK"/>
          <w:szCs w:val="32"/>
          <w:highlight w:val="none"/>
        </w:rPr>
        <w:t>各单位进行公告，其他责任追究情况应在中国移动采购与招标网公告</w:t>
      </w:r>
      <w:r>
        <w:rPr>
          <w:rFonts w:hint="eastAsia" w:ascii="仿宋_GB2312" w:hAnsi="仿宋_GB2312" w:eastAsia="仿宋_GB2312" w:cs="仿宋_GB2312"/>
          <w:sz w:val="32"/>
          <w:szCs w:val="32"/>
          <w:highlight w:val="none"/>
        </w:rPr>
        <w:t>。</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对所有受责任追究的供应商应进行约谈并记录存档。</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在实施采购时，对发生负面行为的供应商应按照供应商负面行为责任追究措施表（见附件</w:t>
      </w:r>
      <w:r>
        <w:rPr>
          <w:rFonts w:hint="eastAsia" w:ascii="仿宋_GB2312" w:hAnsi="仿宋_GB2312" w:cs="仿宋_GB2312"/>
          <w:sz w:val="32"/>
          <w:szCs w:val="32"/>
          <w:highlight w:val="none"/>
          <w:lang w:val="en-US" w:eastAsia="zh-CN"/>
        </w:rPr>
        <w:t>1</w:t>
      </w:r>
      <w:r>
        <w:rPr>
          <w:rFonts w:hint="eastAsia" w:ascii="仿宋_GB2312" w:hAnsi="仿宋_GB2312" w:eastAsia="仿宋_GB2312" w:cs="仿宋_GB2312"/>
          <w:sz w:val="32"/>
          <w:szCs w:val="32"/>
          <w:highlight w:val="none"/>
        </w:rPr>
        <w:t>）所述规则进行责任追究。</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 xml:space="preserve">供应商被国家有关行政监督部门取消投标资格的，应按照其处罚决定执行。 </w:t>
      </w:r>
    </w:p>
    <w:p>
      <w:pPr>
        <w:pStyle w:val="2"/>
        <w:keepNext/>
        <w:keepLines/>
        <w:pageBreakBefore w:val="false"/>
        <w:widowControl w:val="false"/>
        <w:numPr>
          <w:ilvl w:val="0"/>
          <w:numId w:val="2"/>
        </w:numPr>
        <w:kinsoku/>
        <w:wordWrap/>
        <w:overflowPunct/>
        <w:topLinePunct w:val="false"/>
        <w:autoSpaceDE/>
        <w:autoSpaceDN/>
        <w:bidi w:val="false"/>
        <w:adjustRightInd/>
        <w:snapToGrid/>
        <w:spacing w:line="360" w:lineRule="auto"/>
        <w:ind w:left="0" w:right="0" w:rightChars="0" w:firstLine="0" w:firstLineChars="0"/>
        <w:jc w:val="center"/>
        <w:textAlignment w:val="auto"/>
        <w:rPr>
          <w:rFonts w:hint="eastAsia" w:ascii="黑体" w:hAnsi="黑体" w:eastAsia="黑体" w:cs="黑体"/>
          <w:sz w:val="32"/>
          <w:szCs w:val="32"/>
          <w:highlight w:val="none"/>
        </w:rPr>
      </w:pPr>
      <w:bookmarkStart w:name="_Toc520214811" w:id="5"/>
      <w:r>
        <w:rPr>
          <w:rFonts w:hint="eastAsia" w:ascii="黑体" w:hAnsi="黑体" w:eastAsia="黑体" w:cs="黑体"/>
          <w:sz w:val="32"/>
          <w:szCs w:val="32"/>
          <w:highlight w:val="none"/>
        </w:rPr>
        <w:t>工作流程</w:t>
      </w:r>
      <w:bookmarkEnd w:id="5"/>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采购供应商负面行为处理遵循如下流程：</w:t>
      </w:r>
    </w:p>
    <w:p>
      <w:pPr>
        <w:pStyle w:val="19"/>
        <w:keepNext w:val="false"/>
        <w:keepLines w:val="false"/>
        <w:pageBreakBefore w:val="false"/>
        <w:widowControl w:val="false"/>
        <w:numPr>
          <w:ilvl w:val="0"/>
          <w:numId w:val="8"/>
        </w:numPr>
        <w:tabs>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cs="仿宋_GB2312"/>
          <w:sz w:val="32"/>
          <w:szCs w:val="32"/>
          <w:highlight w:val="none"/>
          <w:lang w:val="en-US" w:eastAsia="zh-CN"/>
        </w:rPr>
        <w:t>中心各单位需求、运维及相关职能部门</w:t>
      </w:r>
      <w:r>
        <w:rPr>
          <w:rFonts w:hint="eastAsia" w:ascii="仿宋_GB2312" w:hAnsi="仿宋_GB2312" w:eastAsia="仿宋_GB2312" w:cs="仿宋_GB2312"/>
          <w:sz w:val="32"/>
          <w:szCs w:val="32"/>
          <w:highlight w:val="none"/>
        </w:rPr>
        <w:t>发现</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采购供应商负面行为后，应对负面行为信息的核实并以正式文件形式将供应商负面行为证明材料提交采购部。</w:t>
      </w:r>
    </w:p>
    <w:p>
      <w:pPr>
        <w:pStyle w:val="19"/>
        <w:keepNext w:val="false"/>
        <w:keepLines w:val="false"/>
        <w:pageBreakBefore w:val="false"/>
        <w:widowControl w:val="false"/>
        <w:tabs>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涉及行贿及提供不正当利益的，</w:t>
      </w:r>
      <w:r>
        <w:rPr>
          <w:rFonts w:ascii="仿宋_GB2312" w:hAnsi="方正仿宋_GBK"/>
          <w:szCs w:val="32"/>
          <w:highlight w:val="none"/>
        </w:rPr>
        <w:t>纪检监察部门</w:t>
      </w:r>
      <w:r>
        <w:rPr>
          <w:rFonts w:hint="eastAsia" w:ascii="仿宋_GB2312" w:hAnsi="仿宋_GB2312" w:eastAsia="仿宋_GB2312" w:cs="仿宋_GB2312"/>
          <w:sz w:val="32"/>
          <w:szCs w:val="32"/>
          <w:highlight w:val="none"/>
        </w:rPr>
        <w:t>应在文件中明确涉案人员姓名、单位职务、涉案供应商全称及处理建议等详细信息。</w:t>
      </w:r>
    </w:p>
    <w:p>
      <w:pPr>
        <w:pStyle w:val="19"/>
        <w:keepNext w:val="false"/>
        <w:keepLines w:val="false"/>
        <w:pageBreakBefore w:val="false"/>
        <w:widowControl w:val="false"/>
        <w:tabs>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各单位发现</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采购供应商负面行为后，应对负面行为进行核实确认，并以正式文件形式将认定结论和证明材料提交采购部。</w:t>
      </w:r>
    </w:p>
    <w:p>
      <w:pPr>
        <w:pStyle w:val="19"/>
        <w:numPr>
          <w:ilvl w:val="0"/>
          <w:numId w:val="8"/>
        </w:numPr>
        <w:tabs>
          <w:tab w:val="left" w:pos="1619"/>
        </w:tabs>
        <w:adjustRightInd w:val="false"/>
        <w:snapToGrid w:val="false"/>
        <w:spacing w:line="360" w:lineRule="auto"/>
        <w:ind w:left="0" w:firstLine="64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采购部接收</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采购供应商负面行为信息和证明材料后，</w:t>
      </w:r>
      <w:r>
        <w:rPr>
          <w:rFonts w:hint="eastAsia" w:ascii="仿宋_GB2312" w:hAnsi="仿宋_GB2312" w:cs="仿宋_GB2312"/>
          <w:sz w:val="32"/>
          <w:szCs w:val="32"/>
          <w:highlight w:val="none"/>
          <w:lang w:val="en-US" w:eastAsia="zh-CN"/>
        </w:rPr>
        <w:t>原则上</w:t>
      </w:r>
      <w:r>
        <w:rPr>
          <w:rFonts w:hint="eastAsia" w:ascii="仿宋_GB2312" w:hAnsi="仿宋_GB2312" w:eastAsia="仿宋_GB2312" w:cs="仿宋_GB2312"/>
          <w:sz w:val="32"/>
          <w:szCs w:val="32"/>
          <w:highlight w:val="none"/>
        </w:rPr>
        <w:t>在15个工作日完成情况调查核实、与供应商确认</w:t>
      </w:r>
      <w:r>
        <w:rPr>
          <w:rFonts w:hint="eastAsia" w:ascii="仿宋_GB2312" w:hAnsi="仿宋_GB2312" w:cs="仿宋_GB2312"/>
          <w:sz w:val="32"/>
          <w:szCs w:val="32"/>
          <w:highlight w:val="none"/>
          <w:lang w:eastAsia="zh-CN"/>
        </w:rPr>
        <w:t>、</w:t>
      </w:r>
      <w:r>
        <w:rPr>
          <w:rFonts w:hint="eastAsia" w:ascii="仿宋_GB2312" w:hAnsi="仿宋_GB2312" w:eastAsia="仿宋_GB2312" w:cs="仿宋_GB2312"/>
          <w:sz w:val="32"/>
          <w:szCs w:val="32"/>
          <w:highlight w:val="none"/>
        </w:rPr>
        <w:t>提出</w:t>
      </w:r>
      <w:r>
        <w:rPr>
          <w:rFonts w:hint="eastAsia" w:ascii="仿宋_GB2312" w:hAnsi="仿宋_GB2312" w:cs="仿宋_GB2312"/>
          <w:sz w:val="32"/>
          <w:szCs w:val="32"/>
          <w:highlight w:val="none"/>
          <w:lang w:val="en-US" w:eastAsia="zh-CN"/>
        </w:rPr>
        <w:t>并审批</w:t>
      </w:r>
      <w:r>
        <w:rPr>
          <w:rFonts w:hint="eastAsia" w:ascii="仿宋_GB2312" w:hAnsi="仿宋_GB2312" w:eastAsia="仿宋_GB2312" w:cs="仿宋_GB2312"/>
          <w:sz w:val="32"/>
          <w:szCs w:val="32"/>
          <w:highlight w:val="none"/>
        </w:rPr>
        <w:t>处理建议方案，</w:t>
      </w:r>
      <w:r>
        <w:rPr>
          <w:rFonts w:ascii="仿宋_GB2312" w:hAnsi="方正仿宋_GBK"/>
          <w:szCs w:val="32"/>
          <w:highlight w:val="none"/>
        </w:rPr>
        <w:t>如有异议</w:t>
      </w:r>
      <w:r>
        <w:rPr>
          <w:rFonts w:hint="default" w:ascii="仿宋_GB2312" w:hAnsi="方正仿宋_GBK"/>
          <w:szCs w:val="32"/>
          <w:highlight w:val="none"/>
        </w:rPr>
        <w:t>或其他</w:t>
      </w:r>
      <w:r>
        <w:rPr>
          <w:rFonts w:ascii="仿宋_GB2312" w:hAnsi="方正仿宋_GBK"/>
          <w:szCs w:val="32"/>
          <w:highlight w:val="none"/>
        </w:rPr>
        <w:t>特殊</w:t>
      </w:r>
      <w:r>
        <w:rPr>
          <w:rFonts w:hint="default" w:ascii="仿宋_GB2312" w:hAnsi="方正仿宋_GBK"/>
          <w:szCs w:val="32"/>
          <w:highlight w:val="none"/>
        </w:rPr>
        <w:t>情况的，</w:t>
      </w:r>
      <w:r>
        <w:rPr>
          <w:rFonts w:ascii="仿宋_GB2312" w:hAnsi="方正仿宋_GBK"/>
          <w:szCs w:val="32"/>
          <w:highlight w:val="none"/>
        </w:rPr>
        <w:t>可以</w:t>
      </w:r>
      <w:r>
        <w:rPr>
          <w:rFonts w:hint="default" w:ascii="仿宋_GB2312" w:hAnsi="方正仿宋_GBK"/>
          <w:szCs w:val="32"/>
          <w:highlight w:val="none"/>
        </w:rPr>
        <w:t>据实</w:t>
      </w:r>
      <w:r>
        <w:rPr>
          <w:rFonts w:ascii="仿宋_GB2312" w:hAnsi="方正仿宋_GBK"/>
          <w:szCs w:val="32"/>
          <w:highlight w:val="none"/>
        </w:rPr>
        <w:t>延长</w:t>
      </w:r>
      <w:r>
        <w:rPr>
          <w:rFonts w:hint="default" w:ascii="仿宋_GB2312" w:hAnsi="方正仿宋_GBK"/>
          <w:szCs w:val="32"/>
          <w:highlight w:val="none"/>
        </w:rPr>
        <w:t>处理时间。</w:t>
      </w:r>
      <w:r>
        <w:rPr>
          <w:rFonts w:ascii="仿宋_GB2312" w:hAnsi="方正仿宋_GBK"/>
          <w:szCs w:val="32"/>
          <w:highlight w:val="none"/>
        </w:rPr>
        <w:t>负面行为</w:t>
      </w:r>
      <w:r>
        <w:rPr>
          <w:rFonts w:hint="default" w:ascii="仿宋_GB2312" w:hAnsi="方正仿宋_GBK"/>
          <w:szCs w:val="32"/>
          <w:highlight w:val="none"/>
        </w:rPr>
        <w:t>处理结果应向供应商反馈。</w:t>
      </w:r>
      <w:r>
        <w:rPr>
          <w:rFonts w:hint="eastAsia" w:ascii="仿宋_GB2312" w:hAnsi="方正仿宋_GBK"/>
          <w:szCs w:val="32"/>
          <w:highlight w:val="none"/>
          <w:lang w:val="en-US" w:eastAsia="zh-CN"/>
        </w:rPr>
        <w:t>处理方案</w:t>
      </w:r>
      <w:r>
        <w:rPr>
          <w:rFonts w:hint="eastAsia" w:ascii="仿宋_GB2312" w:hAnsi="仿宋_GB2312" w:eastAsia="仿宋_GB2312" w:cs="仿宋_GB2312"/>
          <w:sz w:val="32"/>
          <w:szCs w:val="32"/>
          <w:highlight w:val="none"/>
        </w:rPr>
        <w:t>经公司领导审批后生效。</w:t>
      </w:r>
      <w:r>
        <w:rPr>
          <w:rFonts w:hint="eastAsia" w:ascii="仿宋_GB2312" w:hAnsi="仿宋_GB2312" w:eastAsia="仿宋_GB2312" w:cs="仿宋_GB2312"/>
          <w:sz w:val="32"/>
          <w:szCs w:val="32"/>
          <w:highlight w:val="none"/>
        </w:rPr>
        <w:t>与供应商确认时应采用书面形式。确认材料中应明确供应商申诉方式及申诉要求。</w:t>
      </w:r>
    </w:p>
    <w:p>
      <w:pPr>
        <w:pStyle w:val="19"/>
        <w:keepNext w:val="false"/>
        <w:keepLines w:val="false"/>
        <w:pageBreakBefore w:val="false"/>
        <w:widowControl w:val="false"/>
        <w:tabs>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ascii="仿宋_GB2312" w:hAnsi="方正仿宋_GBK"/>
          <w:szCs w:val="32"/>
          <w:highlight w:val="none"/>
        </w:rPr>
        <w:t>涉及特别严重负面行为处理或特殊情况的，</w:t>
      </w:r>
      <w:r>
        <w:rPr>
          <w:rFonts w:hint="eastAsia" w:ascii="仿宋_GB2312" w:hAnsi="仿宋_GB2312" w:eastAsia="仿宋_GB2312" w:cs="仿宋_GB2312"/>
          <w:sz w:val="32"/>
          <w:szCs w:val="32"/>
          <w:highlight w:val="none"/>
        </w:rPr>
        <w:t>应</w:t>
      </w:r>
      <w:r>
        <w:rPr>
          <w:rFonts w:hint="eastAsia" w:ascii="仿宋_GB2312" w:hAnsi="仿宋_GB2312" w:cs="仿宋_GB2312"/>
          <w:sz w:val="32"/>
          <w:szCs w:val="32"/>
          <w:highlight w:val="none"/>
          <w:lang w:val="en-US" w:eastAsia="zh-CN"/>
        </w:rPr>
        <w:t>将处理建议方案提请中心</w:t>
      </w:r>
      <w:r>
        <w:rPr>
          <w:rFonts w:hint="eastAsia" w:ascii="仿宋_GB2312" w:hAnsi="仿宋_GB2312" w:eastAsia="仿宋_GB2312" w:cs="仿宋_GB2312"/>
          <w:sz w:val="32"/>
          <w:szCs w:val="32"/>
          <w:highlight w:val="none"/>
        </w:rPr>
        <w:t>总经理或总经理办公会审批</w:t>
      </w:r>
      <w:r>
        <w:rPr>
          <w:rFonts w:hint="eastAsia" w:ascii="仿宋_GB2312" w:hAnsi="仿宋_GB2312" w:cs="仿宋_GB2312"/>
          <w:sz w:val="32"/>
          <w:szCs w:val="32"/>
          <w:highlight w:val="none"/>
          <w:lang w:val="en-US" w:eastAsia="zh-CN"/>
        </w:rPr>
        <w:t>。其中，涉及行贿情形的，应由</w:t>
      </w:r>
      <w:r>
        <w:rPr>
          <w:rFonts w:hint="eastAsia" w:ascii="仿宋_GB2312" w:hAnsi="仿宋_GB2312" w:eastAsia="仿宋_GB2312" w:cs="仿宋_GB2312"/>
          <w:sz w:val="32"/>
          <w:szCs w:val="32"/>
          <w:highlight w:val="none"/>
        </w:rPr>
        <w:t>采购部会同</w:t>
      </w:r>
      <w:r>
        <w:rPr>
          <w:rFonts w:hint="eastAsia" w:ascii="仿宋_GB2312" w:hAnsi="仿宋_GB2312" w:cs="仿宋_GB2312"/>
          <w:sz w:val="32"/>
          <w:szCs w:val="32"/>
          <w:highlight w:val="none"/>
          <w:lang w:val="en-US" w:eastAsia="zh-CN"/>
        </w:rPr>
        <w:t>纪检监察部门</w:t>
      </w:r>
      <w:r>
        <w:rPr>
          <w:rFonts w:hint="eastAsia" w:ascii="仿宋_GB2312" w:hAnsi="仿宋_GB2312" w:eastAsia="仿宋_GB2312" w:cs="仿宋_GB2312"/>
          <w:sz w:val="32"/>
          <w:szCs w:val="32"/>
          <w:highlight w:val="none"/>
        </w:rPr>
        <w:t>、法律部门、及材料提供部门/单位共同提出处理建议方案，并由采购部提请</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总经理或总经理办公会审批。</w:t>
      </w:r>
    </w:p>
    <w:p>
      <w:pPr>
        <w:pStyle w:val="19"/>
        <w:keepNext w:val="false"/>
        <w:keepLines w:val="false"/>
        <w:pageBreakBefore w:val="false"/>
        <w:widowControl w:val="false"/>
        <w:numPr>
          <w:ilvl w:val="0"/>
          <w:numId w:val="8"/>
        </w:numPr>
        <w:tabs>
          <w:tab w:val="left" w:pos="1619"/>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审批完成后</w:t>
      </w:r>
      <w:r>
        <w:rPr>
          <w:rFonts w:hint="eastAsia" w:ascii="仿宋_GB2312" w:hAnsi="仿宋_GB2312" w:cs="仿宋_GB2312"/>
          <w:sz w:val="32"/>
          <w:szCs w:val="32"/>
          <w:highlight w:val="none"/>
          <w:lang w:val="en-US" w:eastAsia="zh-CN"/>
        </w:rPr>
        <w:t>5</w:t>
      </w:r>
      <w:r>
        <w:rPr>
          <w:rFonts w:hint="eastAsia" w:ascii="仿宋_GB2312" w:hAnsi="仿宋_GB2312" w:eastAsia="仿宋_GB2312" w:cs="仿宋_GB2312"/>
          <w:sz w:val="32"/>
          <w:szCs w:val="32"/>
          <w:highlight w:val="none"/>
        </w:rPr>
        <w:t>个工作日内由采购部通过中国移动供应链管理系统发布供应商负面行为公告，并同时以书面形式正式通报供应商。</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供应商负面行为处理案例由采购部统一建库存档，形成</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案例库。后续对供应商进行负面行为处理时，应先查询以前处理案例，有处理先例的应按照一贯性原则处理。</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ascii="仿宋_GB2312" w:hAnsi="方正仿宋_GBK"/>
          <w:szCs w:val="32"/>
          <w:highlight w:val="none"/>
        </w:rPr>
        <w:t>供应商在履约期间被处以禁止合作或</w:t>
      </w:r>
      <w:r>
        <w:rPr>
          <w:rFonts w:hint="eastAsia" w:ascii="仿宋_GB2312" w:hAnsi="方正仿宋_GBK"/>
          <w:szCs w:val="32"/>
          <w:highlight w:val="none"/>
          <w:lang w:val="en-US" w:eastAsia="zh-CN"/>
        </w:rPr>
        <w:t>终止</w:t>
      </w:r>
      <w:r>
        <w:rPr>
          <w:rFonts w:ascii="仿宋_GB2312" w:hAnsi="方正仿宋_GBK"/>
          <w:szCs w:val="32"/>
          <w:highlight w:val="none"/>
        </w:rPr>
        <w:t>剩余份额执行的，应在公告发布后及时实施。确因禁止合作或</w:t>
      </w:r>
      <w:r>
        <w:rPr>
          <w:rFonts w:hint="eastAsia" w:ascii="仿宋_GB2312" w:hAnsi="方正仿宋_GBK"/>
          <w:szCs w:val="32"/>
          <w:highlight w:val="none"/>
          <w:lang w:val="en-US" w:eastAsia="zh-CN"/>
        </w:rPr>
        <w:t>终止</w:t>
      </w:r>
      <w:r>
        <w:rPr>
          <w:rFonts w:ascii="仿宋_GB2312" w:hAnsi="方正仿宋_GBK"/>
          <w:szCs w:val="32"/>
          <w:highlight w:val="none"/>
        </w:rPr>
        <w:t>剩余份额执行可能使公司利益受损等原因，不能及时执行的，相关单位应依据本单位决策管理程序进行决策，并存档备查</w:t>
      </w:r>
      <w:r>
        <w:rPr>
          <w:rFonts w:hint="eastAsia" w:ascii="仿宋_GB2312" w:hAnsi="仿宋_GB2312" w:eastAsia="仿宋_GB2312" w:cs="仿宋_GB2312"/>
          <w:sz w:val="32"/>
          <w:szCs w:val="32"/>
          <w:highlight w:val="none"/>
        </w:rPr>
        <w:t>。</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ascii="仿宋_GB2312" w:hAnsi="方正仿宋_GBK"/>
          <w:szCs w:val="32"/>
          <w:highlight w:val="none"/>
        </w:rPr>
        <w:t>禁止合作期自中国移动采购与招标网发布公告之日起算，期满后自动解除</w:t>
      </w:r>
      <w:r>
        <w:rPr>
          <w:rFonts w:hint="eastAsia" w:ascii="仿宋_GB2312" w:hAnsi="仿宋_GB2312" w:eastAsia="仿宋_GB2312" w:cs="仿宋_GB2312"/>
          <w:sz w:val="32"/>
          <w:szCs w:val="32"/>
          <w:highlight w:val="none"/>
        </w:rPr>
        <w:t>。</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ascii="仿宋_GB2312" w:hAnsi="方正仿宋_GBK"/>
          <w:szCs w:val="32"/>
          <w:highlight w:val="none"/>
        </w:rPr>
        <w:t>供应商在禁止合作期满后参与</w:t>
      </w:r>
      <w:r>
        <w:rPr>
          <w:rFonts w:hint="eastAsia" w:ascii="仿宋_GB2312" w:hAnsi="方正仿宋_GBK"/>
          <w:szCs w:val="32"/>
          <w:highlight w:val="none"/>
          <w:lang w:val="en-US" w:eastAsia="zh-CN"/>
        </w:rPr>
        <w:t>中心</w:t>
      </w:r>
      <w:r>
        <w:rPr>
          <w:rFonts w:ascii="仿宋_GB2312" w:hAnsi="方正仿宋_GBK"/>
          <w:szCs w:val="32"/>
          <w:highlight w:val="none"/>
        </w:rPr>
        <w:t>相应产品类别采购活动时，其首次参与时的绩效评估成绩按照新供应商取定标准计取。</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default" w:ascii="仿宋_GB2312" w:hAnsi="方正仿宋_GBK"/>
          <w:szCs w:val="32"/>
          <w:highlight w:val="none"/>
        </w:rPr>
      </w:pPr>
      <w:r>
        <w:rPr>
          <w:rFonts w:ascii="仿宋_GB2312" w:hAnsi="方正仿宋_GBK"/>
          <w:szCs w:val="32"/>
          <w:highlight w:val="none"/>
        </w:rPr>
        <w:t>对于禁止合作的供应商，如因技术限制、可能造成竞争不充分等原因仍需向其进行采购的，应以签报或会议形式提请相应采购项目采购方案决策层级的上一级或最高层级决策</w:t>
      </w:r>
      <w:r>
        <w:rPr>
          <w:rFonts w:hint="eastAsia" w:ascii="仿宋_GB2312" w:hAnsi="仿宋_GB2312" w:eastAsia="仿宋_GB2312" w:cs="仿宋_GB2312"/>
          <w:sz w:val="32"/>
          <w:szCs w:val="32"/>
          <w:highlight w:val="none"/>
        </w:rPr>
        <w:t>。</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default" w:ascii="仿宋_GB2312" w:hAnsi="方正仿宋_GBK"/>
          <w:szCs w:val="32"/>
          <w:highlight w:val="none"/>
        </w:rPr>
      </w:pPr>
      <w:r>
        <w:rPr>
          <w:rFonts w:ascii="仿宋_GB2312" w:hAnsi="方正仿宋_GBK"/>
          <w:szCs w:val="32"/>
          <w:highlight w:val="none"/>
        </w:rPr>
        <w:t>供应商发生单位行贿、或者因供应商产品质量或服务缺陷等原因造成</w:t>
      </w:r>
      <w:r>
        <w:rPr>
          <w:rFonts w:hint="eastAsia" w:ascii="仿宋_GB2312" w:hAnsi="方正仿宋_GBK"/>
          <w:szCs w:val="32"/>
          <w:highlight w:val="none"/>
          <w:lang w:val="en-US" w:eastAsia="zh-CN"/>
        </w:rPr>
        <w:t>中心</w:t>
      </w:r>
      <w:r>
        <w:rPr>
          <w:rFonts w:ascii="仿宋_GB2312" w:hAnsi="方正仿宋_GBK"/>
          <w:szCs w:val="32"/>
          <w:highlight w:val="none"/>
        </w:rPr>
        <w:t>较大级别及以上安全生产事故（按照国务院第493号令规定界定）等两种情形之一的，全集团实施供应商负面行为处理结果联动。一级集采供应商发生上述行为的，由采购共享中心按相关规定处理后，通报全集团进行禁止合作；</w:t>
      </w:r>
      <w:r>
        <w:rPr>
          <w:rFonts w:hint="eastAsia" w:ascii="仿宋_GB2312" w:hAnsi="方正仿宋_GBK"/>
          <w:szCs w:val="32"/>
          <w:highlight w:val="none"/>
          <w:lang w:val="en-US" w:eastAsia="zh-CN"/>
        </w:rPr>
        <w:t>中心</w:t>
      </w:r>
      <w:r>
        <w:rPr>
          <w:rFonts w:ascii="仿宋_GB2312" w:hAnsi="方正仿宋_GBK"/>
          <w:szCs w:val="32"/>
          <w:highlight w:val="none"/>
        </w:rPr>
        <w:t>采购供应商发生上述行为的，由</w:t>
      </w:r>
      <w:r>
        <w:rPr>
          <w:rFonts w:hint="eastAsia" w:ascii="仿宋_GB2312" w:hAnsi="方正仿宋_GBK"/>
          <w:szCs w:val="32"/>
          <w:highlight w:val="none"/>
          <w:lang w:val="en-US" w:eastAsia="zh-CN"/>
        </w:rPr>
        <w:t>采购部</w:t>
      </w:r>
      <w:r>
        <w:rPr>
          <w:rFonts w:ascii="仿宋_GB2312" w:hAnsi="方正仿宋_GBK"/>
          <w:szCs w:val="32"/>
          <w:highlight w:val="none"/>
        </w:rPr>
        <w:t>按规定完成处理后，在3个工作日内上报采购共享中心。采购共享中心确认后，通报全集团进行联动。</w:t>
      </w:r>
    </w:p>
    <w:p>
      <w:pPr>
        <w:pStyle w:val="19"/>
        <w:tabs>
          <w:tab w:val="left" w:pos="2520"/>
        </w:tabs>
        <w:adjustRightInd w:val="false"/>
        <w:snapToGrid w:val="false"/>
        <w:spacing w:line="360" w:lineRule="auto"/>
        <w:ind w:firstLine="640"/>
        <w:textAlignment w:val="baseline"/>
        <w:rPr>
          <w:rFonts w:ascii="仿宋_GB2312" w:hAnsi="方正仿宋_GBK"/>
          <w:szCs w:val="32"/>
          <w:highlight w:val="none"/>
        </w:rPr>
      </w:pPr>
      <w:r>
        <w:rPr>
          <w:rFonts w:hint="eastAsia" w:ascii="仿宋_GB2312" w:hAnsi="方正仿宋_GBK"/>
          <w:szCs w:val="32"/>
          <w:highlight w:val="none"/>
          <w:lang w:val="en-US" w:eastAsia="zh-CN"/>
        </w:rPr>
        <w:t>采购部</w:t>
      </w:r>
      <w:r>
        <w:rPr>
          <w:rFonts w:ascii="仿宋_GB2312" w:hAnsi="方正仿宋_GBK"/>
          <w:szCs w:val="32"/>
          <w:highlight w:val="none"/>
        </w:rPr>
        <w:t>上报处理情况时，供应商单位行贿行为上报材料应包含法院终审判决供应商单位行贿罪成立的判决书或纪检监察部门提供的确认供应商单位行贿属实的正式文件材料（材料至少包括涉案供应商全称及基本案情等信息）；安全生产事故上报材料应包括相应政府机关批复通过的安全生产事故调查报告。</w:t>
      </w:r>
    </w:p>
    <w:p>
      <w:pPr>
        <w:pStyle w:val="19"/>
        <w:tabs>
          <w:tab w:val="left" w:pos="2520"/>
        </w:tabs>
        <w:adjustRightInd w:val="false"/>
        <w:snapToGrid w:val="false"/>
        <w:spacing w:line="360" w:lineRule="auto"/>
        <w:ind w:firstLine="640"/>
        <w:textAlignment w:val="baseline"/>
        <w:rPr>
          <w:rFonts w:hint="eastAsia" w:ascii="仿宋_GB2312" w:hAnsi="仿宋_GB2312" w:eastAsia="仿宋_GB2312" w:cs="仿宋_GB2312"/>
          <w:sz w:val="32"/>
          <w:szCs w:val="32"/>
          <w:highlight w:val="none"/>
        </w:rPr>
      </w:pPr>
      <w:r>
        <w:rPr>
          <w:rFonts w:ascii="仿宋_GB2312" w:hAnsi="方正仿宋_GBK"/>
          <w:szCs w:val="32"/>
          <w:highlight w:val="none"/>
        </w:rPr>
        <w:t>确因供应商寻源困难、限制供应商后可能使公司利益受损等原因，不能执行联动要求的，</w:t>
      </w:r>
      <w:r>
        <w:rPr>
          <w:rFonts w:hint="eastAsia" w:ascii="仿宋_GB2312" w:hAnsi="方正仿宋_GBK"/>
          <w:szCs w:val="32"/>
          <w:highlight w:val="none"/>
          <w:lang w:val="en-US" w:eastAsia="zh-CN"/>
        </w:rPr>
        <w:t>采购部</w:t>
      </w:r>
      <w:r>
        <w:rPr>
          <w:rFonts w:ascii="仿宋_GB2312" w:hAnsi="方正仿宋_GBK"/>
          <w:szCs w:val="32"/>
          <w:highlight w:val="none"/>
        </w:rPr>
        <w:t>应依据决策管理程序进行决策，并存档备查</w:t>
      </w:r>
      <w:r>
        <w:rPr>
          <w:rFonts w:hint="eastAsia" w:ascii="仿宋_GB2312" w:hAnsi="方正仿宋_GBK"/>
          <w:szCs w:val="32"/>
          <w:highlight w:val="none"/>
          <w:lang w:eastAsia="zh-CN"/>
        </w:rPr>
        <w:t>。</w:t>
      </w:r>
    </w:p>
    <w:p>
      <w:pPr>
        <w:pStyle w:val="2"/>
        <w:keepNext/>
        <w:keepLines/>
        <w:pageBreakBefore w:val="false"/>
        <w:widowControl w:val="false"/>
        <w:numPr>
          <w:ilvl w:val="0"/>
          <w:numId w:val="2"/>
        </w:numPr>
        <w:kinsoku/>
        <w:wordWrap/>
        <w:overflowPunct/>
        <w:topLinePunct w:val="false"/>
        <w:autoSpaceDE/>
        <w:autoSpaceDN/>
        <w:bidi w:val="false"/>
        <w:adjustRightInd/>
        <w:snapToGrid/>
        <w:spacing w:line="360" w:lineRule="auto"/>
        <w:ind w:left="0" w:right="0" w:rightChars="0" w:firstLine="0" w:firstLineChars="0"/>
        <w:jc w:val="center"/>
        <w:textAlignment w:val="auto"/>
        <w:rPr>
          <w:rFonts w:hint="eastAsia" w:ascii="黑体" w:hAnsi="黑体" w:eastAsia="黑体" w:cs="黑体"/>
          <w:sz w:val="32"/>
          <w:szCs w:val="32"/>
          <w:highlight w:val="none"/>
        </w:rPr>
      </w:pPr>
      <w:bookmarkStart w:name="_Toc520214812" w:id="6"/>
      <w:r>
        <w:rPr>
          <w:rFonts w:hint="eastAsia" w:ascii="黑体" w:hAnsi="黑体" w:eastAsia="黑体" w:cs="黑体"/>
          <w:sz w:val="32"/>
          <w:szCs w:val="32"/>
          <w:highlight w:val="none"/>
        </w:rPr>
        <w:t>罚  则</w:t>
      </w:r>
      <w:bookmarkEnd w:id="6"/>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在供应商负面行为管理工作中，针对</w:t>
      </w:r>
      <w:r>
        <w:rPr>
          <w:rFonts w:hint="eastAsia" w:ascii="仿宋_GB2312" w:hAnsi="仿宋_GB2312" w:cs="仿宋_GB2312"/>
          <w:sz w:val="32"/>
          <w:szCs w:val="32"/>
          <w:highlight w:val="none"/>
          <w:lang w:val="en-US" w:eastAsia="zh-CN"/>
        </w:rPr>
        <w:t>中心</w:t>
      </w:r>
      <w:r>
        <w:rPr>
          <w:rFonts w:hint="eastAsia" w:ascii="仿宋_GB2312" w:hAnsi="仿宋_GB2312" w:eastAsia="仿宋_GB2312" w:cs="仿宋_GB2312"/>
          <w:sz w:val="32"/>
          <w:szCs w:val="32"/>
          <w:highlight w:val="none"/>
        </w:rPr>
        <w:t>相关人员要强化刚性约束和氛围约束，严格纪律和规矩要求。通过批评教育、约谈、提醒谈话、诫勉谈话、组织处理等方式及早发现解决苗头性、倾向性问题。</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如存在违纪违规行为，应当给予党政纪处分，或者达到集团公司规定问责情形应当给予问责的，由主管部门依据国家、集团公司、在线营销服务中心、在线服务公司、销售分公司相关违纪违规管理规定，履行有关程序并提供相关材料，配合党委办公室、巡察工作办公室、纪委办公室、人力资源部以及其他有关职能部门，按有关程序给予相应的处理。如涉及犯罪的，依法移送司法机关处理。</w:t>
      </w:r>
    </w:p>
    <w:p>
      <w:pPr>
        <w:pStyle w:val="2"/>
        <w:keepNext/>
        <w:keepLines/>
        <w:pageBreakBefore w:val="false"/>
        <w:widowControl w:val="false"/>
        <w:numPr>
          <w:ilvl w:val="0"/>
          <w:numId w:val="2"/>
        </w:numPr>
        <w:kinsoku/>
        <w:wordWrap/>
        <w:overflowPunct/>
        <w:topLinePunct w:val="false"/>
        <w:autoSpaceDE/>
        <w:autoSpaceDN/>
        <w:bidi w:val="false"/>
        <w:adjustRightInd/>
        <w:snapToGrid/>
        <w:spacing w:line="360" w:lineRule="auto"/>
        <w:ind w:left="0" w:right="0" w:rightChars="0" w:firstLine="0" w:firstLineChars="0"/>
        <w:jc w:val="center"/>
        <w:textAlignment w:val="auto"/>
        <w:rPr>
          <w:rFonts w:hint="eastAsia" w:ascii="黑体" w:hAnsi="黑体" w:eastAsia="黑体" w:cs="黑体"/>
          <w:sz w:val="32"/>
          <w:szCs w:val="32"/>
          <w:highlight w:val="none"/>
        </w:rPr>
      </w:pPr>
      <w:bookmarkStart w:name="_Toc520214813" w:id="7"/>
      <w:r>
        <w:rPr>
          <w:rFonts w:hint="eastAsia" w:ascii="黑体" w:hAnsi="黑体" w:eastAsia="黑体" w:cs="黑体"/>
          <w:sz w:val="32"/>
          <w:szCs w:val="32"/>
          <w:highlight w:val="none"/>
        </w:rPr>
        <w:t>附  则</w:t>
      </w:r>
      <w:bookmarkEnd w:id="7"/>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本办法由采购部负责解释。</w:t>
      </w:r>
    </w:p>
    <w:p>
      <w:pPr>
        <w:pStyle w:val="20"/>
        <w:keepNext w:val="false"/>
        <w:keepLines w:val="false"/>
        <w:pageBreakBefore w:val="false"/>
        <w:widowControl w:val="false"/>
        <w:numPr>
          <w:ilvl w:val="0"/>
          <w:numId w:val="3"/>
        </w:numPr>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本办法自发布之日起施行，原《中移在线服务有限公司采购供应商负面行为管理办法》（在线计[20</w:t>
      </w:r>
      <w:r>
        <w:rPr>
          <w:rFonts w:hint="eastAsia" w:ascii="仿宋_GB2312" w:hAnsi="仿宋_GB2312" w:cs="仿宋_GB2312"/>
          <w:sz w:val="32"/>
          <w:szCs w:val="32"/>
          <w:highlight w:val="none"/>
          <w:lang w:val="en-US" w:eastAsia="zh-CN"/>
        </w:rPr>
        <w:t>20</w:t>
      </w:r>
      <w:r>
        <w:rPr>
          <w:rFonts w:hint="eastAsia" w:ascii="仿宋_GB2312" w:hAnsi="仿宋_GB2312" w:eastAsia="仿宋_GB2312" w:cs="仿宋_GB2312"/>
          <w:sz w:val="32"/>
          <w:szCs w:val="32"/>
          <w:highlight w:val="none"/>
        </w:rPr>
        <w:t>]</w:t>
      </w:r>
      <w:r>
        <w:rPr>
          <w:rFonts w:hint="eastAsia" w:ascii="仿宋_GB2312" w:hAnsi="仿宋_GB2312" w:cs="仿宋_GB2312"/>
          <w:sz w:val="32"/>
          <w:szCs w:val="32"/>
          <w:highlight w:val="none"/>
          <w:lang w:val="en-US" w:eastAsia="zh-CN"/>
        </w:rPr>
        <w:t>50</w:t>
      </w:r>
      <w:r>
        <w:rPr>
          <w:rFonts w:hint="eastAsia" w:ascii="仿宋_GB2312" w:hAnsi="仿宋_GB2312" w:eastAsia="仿宋_GB2312" w:cs="仿宋_GB2312"/>
          <w:sz w:val="32"/>
          <w:szCs w:val="32"/>
          <w:highlight w:val="none"/>
        </w:rPr>
        <w:t>号）</w:t>
      </w:r>
      <w:r>
        <w:rPr>
          <w:rFonts w:hint="eastAsia" w:ascii="仿宋_GB2312" w:hAnsi="仿宋_GB2312" w:cs="仿宋_GB2312"/>
          <w:sz w:val="32"/>
          <w:szCs w:val="32"/>
          <w:highlight w:val="none"/>
          <w:lang w:val="en-US" w:eastAsia="zh-CN"/>
        </w:rPr>
        <w:t>同时废止</w:t>
      </w:r>
      <w:r>
        <w:rPr>
          <w:rFonts w:hint="eastAsia" w:ascii="仿宋_GB2312" w:hAnsi="仿宋_GB2312" w:eastAsia="仿宋_GB2312" w:cs="仿宋_GB2312"/>
          <w:sz w:val="32"/>
          <w:szCs w:val="32"/>
          <w:highlight w:val="none"/>
        </w:rPr>
        <w:t>。</w:t>
      </w:r>
    </w:p>
    <w:p>
      <w:pPr>
        <w:pStyle w:val="19"/>
        <w:keepNext w:val="false"/>
        <w:keepLines w:val="false"/>
        <w:pageBreakBefore w:val="false"/>
        <w:widowControl w:val="false"/>
        <w:tabs>
          <w:tab w:val="left" w:pos="2520"/>
        </w:tabs>
        <w:kinsoku/>
        <w:wordWrap/>
        <w:overflowPunct/>
        <w:topLinePunct w:val="false"/>
        <w:autoSpaceDE/>
        <w:autoSpaceDN/>
        <w:bidi w:val="false"/>
        <w:adjustRightInd/>
        <w:snapToGrid/>
        <w:spacing w:line="360" w:lineRule="auto"/>
        <w:ind w:left="0" w:leftChars="0" w:firstLine="640" w:firstLineChars="200"/>
        <w:textAlignment w:val="baseline"/>
        <w:rPr>
          <w:rFonts w:hint="eastAsia" w:ascii="仿宋_GB2312" w:hAnsi="仿宋_GB2312" w:eastAsia="仿宋_GB2312" w:cs="仿宋_GB2312"/>
          <w:color w:val="000000"/>
          <w:sz w:val="32"/>
          <w:szCs w:val="32"/>
          <w:highlight w:val="none"/>
        </w:rPr>
      </w:pPr>
    </w:p>
    <w:p>
      <w:pPr>
        <w:keepNext w:val="false"/>
        <w:keepLines w:val="false"/>
        <w:pageBreakBefore w:val="false"/>
        <w:widowControl w:val="false"/>
        <w:kinsoku/>
        <w:wordWrap/>
        <w:overflowPunct/>
        <w:topLinePunct w:val="false"/>
        <w:autoSpaceDE/>
        <w:autoSpaceDN/>
        <w:bidi w:val="false"/>
        <w:adjustRightInd/>
        <w:snapToGrid/>
        <w:spacing w:line="360" w:lineRule="auto"/>
        <w:ind w:left="0" w:leftChars="0" w:firstLine="640" w:firstLineChars="200"/>
        <w:rPr>
          <w:rFonts w:hint="eastAsia" w:ascii="仿宋_GB2312" w:hAnsi="仿宋_GB2312" w:eastAsia="仿宋_GB2312" w:cs="仿宋_GB2312"/>
          <w:sz w:val="32"/>
          <w:szCs w:val="32"/>
          <w:highlight w:val="none"/>
        </w:rPr>
      </w:pPr>
    </w:p>
    <w:sectPr>
      <w:footerReference w:type="default" r:id="rId5"/>
      <w:headerReference w:type="default" r:id="rId10"/>
      <w:headerReference w:type="even" r:id="rId10"/>
      <w:headerReference w:type="first" r:id="rId10"/>
      <w:pgSz w:w="11907" w:h="16839"/>
      <w:pgMar w:top="1440" w:right="1800" w:bottom="1440" w:left="1800" w:header="720" w:footer="720" w:gutter="0"/>
      <w:pgNumType w:start="1"/>
      <w:cols w:space="720"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宋体-18030">
    <w:altName w:val="华文仿宋"/>
    <w:panose1 w:val="00000000000000000000"/>
    <w:charset w:val="86"/>
    <w:family w:val="modern"/>
    <w:pitch w:val="default"/>
    <w:sig w:usb0="00000000" w:usb1="00000000" w:usb2="000A005E" w:usb3="00000000" w:csb0="00040001" w:csb1="00000000"/>
  </w:font>
  <w:font w:name="FangSong_GB2312,Bold">
    <w:altName w:val="方正舒体"/>
    <w:panose1 w:val="00000000000000000000"/>
    <w:charset w:val="86"/>
    <w:family w:val="auto"/>
    <w:pitch w:val="default"/>
    <w:sig w:usb0="00000000" w:usb1="00000000" w:usb2="00000010" w:usb3="00000000" w:csb0="00040000" w:csb1="00000000"/>
  </w:font>
  <w:font w:name="方正仿宋_GBK">
    <w:panose1 w:val="02000000000000000000"/>
    <w:charset w:val="86"/>
    <w:family w:val="script"/>
    <w:pitch w:val="default"/>
    <w:sig w:usb0="A00002BF" w:usb1="38CF7CFA" w:usb2="00082016" w:usb3="00000000" w:csb0="00040001"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2163027"/>
      <w:docPartObj>
        <w:docPartGallery w:val="autotext"/>
      </w:docPartObj>
    </w:sdtPr>
    <w:sdtContent>
      <w:p>
        <w:pPr>
          <w:pStyle w:val="4"/>
          <w:jc w:val="center"/>
        </w:pPr>
        <w:r>
          <w:fldChar w:fldCharType="begin"/>
        </w:r>
        <w:r>
          <w:instrText xml:space="preserve"> PAGE   \* MERGEFORMAT </w:instrText>
        </w:r>
        <w:r>
          <w:fldChar w:fldCharType="separate"/>
        </w:r>
        <w:r>
          <w:rPr>
            <w:lang w:val="zh-CN"/>
          </w:rPr>
          <w:t>2</w:t>
        </w:r>
        <w:r>
          <w:fldChar w:fldCharType="end"/>
        </w:r>
      </w:p>
    </w:sdtContent>
  </w:sdt>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p>
  </w:footnote>
  <w:footnote w:type="continuationSeparator" w:id="1">
    <w:p>
      <w:pPr>
        <w:spacing w:line="240" w:lineRule="auto"/>
      </w:pPr>
    </w:p>
  </w:footnote>
</w:footnotes>
</file>

<file path=word/header.xml><?xml version="1.0" encoding="utf-8"?>
<w:hdr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p>
    <w:r>
      <w:pi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position:absolute;margin-left:0;margin-top:0;width:467.95pt;height:615.75pt;z-index:-251657216;mso-position-horizontal:center;mso-position-horizontal-relative:margin;mso-position-vertical:center;mso-position-vertical-relative:margin" id="WordPictureWatermark835936646" o:spid="_x0000_s2050" o:allowincell="f">
          <v:imagedata o:title="docx4j-logo" r:id="rId1"/>
        </v:shape>
      </w:pict>
    </w:r>
    <w:r>
      <w:drawing>
        <wp:anchor distT="0" distB="0" distL="0" distR="0" simplePos="false" relativeHeight="0" behindDoc="false" locked="false" layoutInCell="true" allowOverlap="true">
          <wp:simplePos x="0" y="0"/>
          <wp:positionH relativeFrom="column">
            <wp:align>center</wp:align>
          </wp:positionH>
          <wp:positionV relativeFrom="topMargin">
            <wp:align>center</wp:align>
          </wp:positionV>
          <wp:extent cx="1905000" cy="142875"/>
          <wp:effectExtent l="0" t="0" r="0" b="0"/>
          <wp:wrapNone/>
          <wp:docPr id="7467" name="" descr=""/>
          <wp:cNvGraphicFramePr>
            <a:graphicFrameLocks noChangeAspect="true"/>
          </wp:cNvGraphicFramePr>
          <a:graphic>
            <a:graphicData uri="http://schemas.openxmlformats.org/drawingml/2006/picture">
              <pic:pic>
                <pic:nvPicPr>
                  <pic:cNvPr id="14934" name=""/>
                  <pic:cNvPicPr/>
                </pic:nvPicPr>
                <pic:blipFill>
                  <a:blip r:embed="rId2"/>
                  <a:stretch>
                    <a:fillRect/>
                  </a:stretch>
                </pic:blipFill>
                <pic:spPr>
                  <a:xfrm>
                    <a:off x="0" y="0"/>
                    <a:ext cx="1905000" cy="142875"/>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center</wp:align>
          </wp:positionH>
          <wp:positionV relativeFrom="topMargin">
            <wp:align>center</wp:align>
          </wp:positionV>
          <wp:extent cx="1905000" cy="142875"/>
          <wp:effectExtent l="0" t="0" r="0" b="0"/>
          <wp:wrapNone/>
          <wp:docPr id="2246" name="" descr=""/>
          <wp:cNvGraphicFramePr>
            <a:graphicFrameLocks noChangeAspect="true"/>
          </wp:cNvGraphicFramePr>
          <a:graphic>
            <a:graphicData uri="http://schemas.openxmlformats.org/drawingml/2006/picture">
              <pic:pic>
                <pic:nvPicPr>
                  <pic:cNvPr id="4492" name=""/>
                  <pic:cNvPicPr/>
                </pic:nvPicPr>
                <pic:blipFill>
                  <a:blip r:embed="rId3"/>
                  <a:stretch>
                    <a:fillRect/>
                  </a:stretch>
                </pic:blipFill>
                <pic:spPr>
                  <a:xfrm>
                    <a:off x="0" y="0"/>
                    <a:ext cx="1905000" cy="142875"/>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center</wp:align>
          </wp:positionH>
          <wp:positionV relativeFrom="topMargin">
            <wp:align>center</wp:align>
          </wp:positionV>
          <wp:extent cx="1905000" cy="142875"/>
          <wp:effectExtent l="0" t="0" r="0" b="0"/>
          <wp:wrapNone/>
          <wp:docPr id="2336" name="" descr=""/>
          <wp:cNvGraphicFramePr>
            <a:graphicFrameLocks noChangeAspect="true"/>
          </wp:cNvGraphicFramePr>
          <a:graphic>
            <a:graphicData uri="http://schemas.openxmlformats.org/drawingml/2006/picture">
              <pic:pic>
                <pic:nvPicPr>
                  <pic:cNvPr id="4672" name=""/>
                  <pic:cNvPicPr/>
                </pic:nvPicPr>
                <pic:blipFill>
                  <a:blip r:embed="rId4"/>
                  <a:stretch>
                    <a:fillRect/>
                  </a:stretch>
                </pic:blipFill>
                <pic:spPr>
                  <a:xfrm>
                    <a:off x="0" y="0"/>
                    <a:ext cx="1905000" cy="142875"/>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right</wp:align>
          </wp:positionH>
          <wp:positionV relativeFrom="topMargin">
            <wp:align>center</wp:align>
          </wp:positionV>
          <wp:extent cx="508000" cy="508000"/>
          <wp:effectExtent l="0" t="0" r="0" b="0"/>
          <wp:wrapNone/>
          <wp:docPr id="8183" name="" descr=""/>
          <wp:cNvGraphicFramePr>
            <a:graphicFrameLocks noChangeAspect="true"/>
          </wp:cNvGraphicFramePr>
          <a:graphic>
            <a:graphicData uri="http://schemas.openxmlformats.org/drawingml/2006/picture">
              <pic:pic>
                <pic:nvPicPr>
                  <pic:cNvPr id="16366" name=""/>
                  <pic:cNvPicPr/>
                </pic:nvPicPr>
                <pic:blipFill>
                  <a:blip r:embed="rId5"/>
                  <a:stretch>
                    <a:fillRect/>
                  </a:stretch>
                </pic:blipFill>
                <pic:spPr>
                  <a:xfrm>
                    <a:off x="0" y="0"/>
                    <a:ext cx="508000" cy="508000"/>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right</wp:align>
          </wp:positionH>
          <wp:positionV relativeFrom="topMargin">
            <wp:align>center</wp:align>
          </wp:positionV>
          <wp:extent cx="508000" cy="508000"/>
          <wp:effectExtent l="0" t="0" r="0" b="0"/>
          <wp:wrapNone/>
          <wp:docPr id="2308" name="" descr=""/>
          <wp:cNvGraphicFramePr>
            <a:graphicFrameLocks noChangeAspect="true"/>
          </wp:cNvGraphicFramePr>
          <a:graphic>
            <a:graphicData uri="http://schemas.openxmlformats.org/drawingml/2006/picture">
              <pic:pic>
                <pic:nvPicPr>
                  <pic:cNvPr id="4616" name=""/>
                  <pic:cNvPicPr/>
                </pic:nvPicPr>
                <pic:blipFill>
                  <a:blip r:embed="rId6"/>
                  <a:stretch>
                    <a:fillRect/>
                  </a:stretch>
                </pic:blipFill>
                <pic:spPr>
                  <a:xfrm>
                    <a:off x="0" y="0"/>
                    <a:ext cx="508000" cy="508000"/>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right</wp:align>
          </wp:positionH>
          <wp:positionV relativeFrom="topMargin">
            <wp:align>center</wp:align>
          </wp:positionV>
          <wp:extent cx="508000" cy="508000"/>
          <wp:effectExtent l="0" t="0" r="0" b="0"/>
          <wp:wrapNone/>
          <wp:docPr id="9313" name="" descr=""/>
          <wp:cNvGraphicFramePr>
            <a:graphicFrameLocks noChangeAspect="true"/>
          </wp:cNvGraphicFramePr>
          <a:graphic>
            <a:graphicData uri="http://schemas.openxmlformats.org/drawingml/2006/picture">
              <pic:pic>
                <pic:nvPicPr>
                  <pic:cNvPr id="18626" name=""/>
                  <pic:cNvPicPr/>
                </pic:nvPicPr>
                <pic:blipFill>
                  <a:blip r:embed="rId7"/>
                  <a:stretch>
                    <a:fillRect/>
                  </a:stretch>
                </pic:blipFill>
                <pic:spPr>
                  <a:xfrm>
                    <a:off x="0" y="0"/>
                    <a:ext cx="508000" cy="508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japaneseCounting"/>
      <w:lvlText w:val="（%1）"/>
      <w:lvlJc w:val="left"/>
      <w:pPr>
        <w:tabs>
          <w:tab w:val="left" w:pos="1931"/>
        </w:tabs>
        <w:ind w:left="1931" w:hanging="1080"/>
      </w:pPr>
      <w:rPr>
        <w:rFonts w:hint="default" w:ascii="Times New Roman"/>
      </w:rPr>
    </w:lvl>
    <w:lvl w:ilvl="1" w:tentative="0">
      <w:start w:val="1"/>
      <w:numFmt w:val="lowerLetter"/>
      <w:lvlText w:val="%2)"/>
      <w:lvlJc w:val="left"/>
      <w:pPr>
        <w:tabs>
          <w:tab w:val="left" w:pos="840"/>
        </w:tabs>
        <w:ind w:left="840" w:hanging="420"/>
      </w:pPr>
      <w:rPr>
        <w:rFonts w:hint="default" w:ascii="Times New Roman"/>
      </w:rPr>
    </w:lvl>
    <w:lvl w:ilvl="2" w:tentative="0">
      <w:start w:val="1"/>
      <w:numFmt w:val="lowerRoman"/>
      <w:lvlText w:val="%3."/>
      <w:lvlJc w:val="right"/>
      <w:pPr>
        <w:tabs>
          <w:tab w:val="left" w:pos="1260"/>
        </w:tabs>
        <w:ind w:left="1260" w:hanging="420"/>
      </w:pPr>
      <w:rPr>
        <w:rFonts w:hint="default" w:ascii="Times New Roman"/>
      </w:rPr>
    </w:lvl>
    <w:lvl w:ilvl="3" w:tentative="0">
      <w:start w:val="1"/>
      <w:numFmt w:val="decimal"/>
      <w:lvlText w:val="%4."/>
      <w:lvlJc w:val="left"/>
      <w:pPr>
        <w:tabs>
          <w:tab w:val="left" w:pos="1680"/>
        </w:tabs>
        <w:ind w:left="1680" w:hanging="420"/>
      </w:pPr>
      <w:rPr>
        <w:rFonts w:hint="default" w:ascii="Times New Roman"/>
      </w:rPr>
    </w:lvl>
    <w:lvl w:ilvl="4" w:tentative="0">
      <w:start w:val="1"/>
      <w:numFmt w:val="lowerLetter"/>
      <w:lvlText w:val="%5)"/>
      <w:lvlJc w:val="left"/>
      <w:pPr>
        <w:tabs>
          <w:tab w:val="left" w:pos="2100"/>
        </w:tabs>
        <w:ind w:left="2100" w:hanging="420"/>
      </w:pPr>
      <w:rPr>
        <w:rFonts w:hint="default" w:ascii="Times New Roman"/>
      </w:rPr>
    </w:lvl>
    <w:lvl w:ilvl="5" w:tentative="0">
      <w:start w:val="1"/>
      <w:numFmt w:val="lowerRoman"/>
      <w:lvlText w:val="%6."/>
      <w:lvlJc w:val="right"/>
      <w:pPr>
        <w:tabs>
          <w:tab w:val="left" w:pos="2520"/>
        </w:tabs>
        <w:ind w:left="2520" w:hanging="420"/>
      </w:pPr>
      <w:rPr>
        <w:rFonts w:hint="default" w:ascii="Times New Roman"/>
      </w:rPr>
    </w:lvl>
    <w:lvl w:ilvl="6" w:tentative="0">
      <w:start w:val="1"/>
      <w:numFmt w:val="decimal"/>
      <w:lvlText w:val="%7."/>
      <w:lvlJc w:val="left"/>
      <w:pPr>
        <w:tabs>
          <w:tab w:val="left" w:pos="2940"/>
        </w:tabs>
        <w:ind w:left="2940" w:hanging="420"/>
      </w:pPr>
      <w:rPr>
        <w:rFonts w:hint="default" w:ascii="Times New Roman"/>
      </w:rPr>
    </w:lvl>
    <w:lvl w:ilvl="7" w:tentative="0">
      <w:start w:val="1"/>
      <w:numFmt w:val="lowerLetter"/>
      <w:lvlText w:val="%8)"/>
      <w:lvlJc w:val="left"/>
      <w:pPr>
        <w:tabs>
          <w:tab w:val="left" w:pos="3360"/>
        </w:tabs>
        <w:ind w:left="3360" w:hanging="420"/>
      </w:pPr>
      <w:rPr>
        <w:rFonts w:hint="default" w:ascii="Times New Roman"/>
      </w:rPr>
    </w:lvl>
    <w:lvl w:ilvl="8" w:tentative="0">
      <w:start w:val="1"/>
      <w:numFmt w:val="lowerRoman"/>
      <w:lvlText w:val="%9."/>
      <w:lvlJc w:val="right"/>
      <w:pPr>
        <w:tabs>
          <w:tab w:val="left" w:pos="3780"/>
        </w:tabs>
        <w:ind w:left="3780" w:hanging="420"/>
      </w:pPr>
      <w:rPr>
        <w:rFonts w:hint="default" w:ascii="Times New Roman"/>
      </w:rPr>
    </w:lvl>
  </w:abstractNum>
  <w:abstractNum w:abstractNumId="1">
    <w:nsid w:val="00000003"/>
    <w:multiLevelType w:val="multilevel"/>
    <w:tmpl w:val="00000003"/>
    <w:lvl w:ilvl="0" w:tentative="0">
      <w:start w:val="1"/>
      <w:numFmt w:val="chineseCountingThousand"/>
      <w:pStyle w:val="2"/>
      <w:lvlText w:val="第%1章"/>
      <w:lvlJc w:val="left"/>
      <w:pPr>
        <w:tabs>
          <w:tab w:val="left" w:pos="283"/>
        </w:tabs>
        <w:ind w:left="-539" w:firstLine="539"/>
      </w:pPr>
      <w:rPr>
        <w:rFonts w:hint="eastAsia" w:ascii="黑体" w:hAnsi="黑体" w:eastAsia="黑体"/>
        <w:b w:val="0"/>
        <w:sz w:val="32"/>
        <w:szCs w:val="32"/>
        <w:lang w:val="en-US"/>
      </w:rPr>
    </w:lvl>
    <w:lvl w:ilvl="1" w:tentative="0">
      <w:start w:val="1"/>
      <w:numFmt w:val="none"/>
      <w:lvlText w:val="第一条"/>
      <w:lvlJc w:val="left"/>
      <w:pPr>
        <w:tabs>
          <w:tab w:val="left" w:pos="1702"/>
        </w:tabs>
        <w:ind w:left="1135" w:firstLine="0"/>
      </w:pPr>
      <w:rPr>
        <w:rFonts w:hint="default" w:ascii="仿宋_GB2312" w:eastAsia="仿宋_GB2312"/>
      </w:rPr>
    </w:lvl>
    <w:lvl w:ilvl="2" w:tentative="0">
      <w:start w:val="1"/>
      <w:numFmt w:val="decimal"/>
      <w:lvlText w:val="%1.%2.%3"/>
      <w:lvlJc w:val="left"/>
      <w:pPr>
        <w:tabs>
          <w:tab w:val="left" w:pos="709"/>
        </w:tabs>
        <w:ind w:left="0" w:firstLine="0"/>
      </w:pPr>
      <w:rPr>
        <w:rFonts w:hint="default" w:ascii="仿宋_GB2312" w:eastAsia="仿宋_GB2312"/>
      </w:rPr>
    </w:lvl>
    <w:lvl w:ilvl="3" w:tentative="0">
      <w:start w:val="1"/>
      <w:numFmt w:val="decimal"/>
      <w:lvlText w:val="%1.%2.%3.%4"/>
      <w:lvlJc w:val="left"/>
      <w:pPr>
        <w:tabs>
          <w:tab w:val="left" w:pos="851"/>
        </w:tabs>
        <w:ind w:left="0" w:firstLine="0"/>
      </w:pPr>
      <w:rPr>
        <w:rFonts w:hint="default" w:ascii="仿宋_GB2312" w:hAnsi="宋体" w:eastAsia="仿宋_GB2312"/>
      </w:rPr>
    </w:lvl>
    <w:lvl w:ilvl="4" w:tentative="0">
      <w:start w:val="1"/>
      <w:numFmt w:val="decimal"/>
      <w:lvlText w:val="%1.%2.%3.%4.%5."/>
      <w:lvlJc w:val="left"/>
      <w:pPr>
        <w:tabs>
          <w:tab w:val="left" w:pos="992"/>
        </w:tabs>
        <w:ind w:left="992" w:hanging="992"/>
      </w:pPr>
      <w:rPr>
        <w:rFonts w:hint="default" w:ascii="Times New Roman"/>
      </w:rPr>
    </w:lvl>
    <w:lvl w:ilvl="5" w:tentative="0">
      <w:start w:val="1"/>
      <w:numFmt w:val="decimal"/>
      <w:lvlText w:val="%1.%2.%3.%4.%5.%6."/>
      <w:lvlJc w:val="left"/>
      <w:pPr>
        <w:tabs>
          <w:tab w:val="left" w:pos="1134"/>
        </w:tabs>
        <w:ind w:left="1134" w:hanging="1134"/>
      </w:pPr>
      <w:rPr>
        <w:rFonts w:hint="default" w:ascii="Times New Roman"/>
      </w:rPr>
    </w:lvl>
    <w:lvl w:ilvl="6" w:tentative="0">
      <w:start w:val="1"/>
      <w:numFmt w:val="decimal"/>
      <w:lvlText w:val="%1.%2.%3.%4.%5.%6.%7."/>
      <w:lvlJc w:val="left"/>
      <w:pPr>
        <w:tabs>
          <w:tab w:val="left" w:pos="1276"/>
        </w:tabs>
        <w:ind w:left="1276" w:hanging="1276"/>
      </w:pPr>
      <w:rPr>
        <w:rFonts w:hint="default" w:ascii="Times New Roman"/>
      </w:rPr>
    </w:lvl>
    <w:lvl w:ilvl="7" w:tentative="0">
      <w:start w:val="1"/>
      <w:numFmt w:val="decimal"/>
      <w:lvlText w:val="%1.%2.%3.%4.%5.%6.%7.%8."/>
      <w:lvlJc w:val="left"/>
      <w:pPr>
        <w:tabs>
          <w:tab w:val="left" w:pos="1418"/>
        </w:tabs>
        <w:ind w:left="1418" w:hanging="1418"/>
      </w:pPr>
      <w:rPr>
        <w:rFonts w:hint="default" w:ascii="Times New Roman"/>
      </w:rPr>
    </w:lvl>
    <w:lvl w:ilvl="8" w:tentative="0">
      <w:start w:val="1"/>
      <w:numFmt w:val="decimal"/>
      <w:lvlText w:val="%1.%2.%3.%4.%5.%6.%7.%8.%9."/>
      <w:lvlJc w:val="left"/>
      <w:pPr>
        <w:tabs>
          <w:tab w:val="left" w:pos="1559"/>
        </w:tabs>
        <w:ind w:left="1559" w:hanging="1559"/>
      </w:pPr>
      <w:rPr>
        <w:rFonts w:hint="default" w:ascii="Times New Roman"/>
      </w:rPr>
    </w:lvl>
  </w:abstractNum>
  <w:abstractNum w:abstractNumId="2">
    <w:nsid w:val="00000007"/>
    <w:multiLevelType w:val="multilevel"/>
    <w:tmpl w:val="00000007"/>
    <w:lvl w:ilvl="0" w:tentative="0">
      <w:start w:val="1"/>
      <w:numFmt w:val="japaneseCounting"/>
      <w:lvlText w:val="（%1）"/>
      <w:lvlJc w:val="left"/>
      <w:pPr>
        <w:tabs>
          <w:tab w:val="left" w:pos="1080"/>
        </w:tabs>
        <w:ind w:left="1080" w:hanging="1080"/>
      </w:pPr>
      <w:rPr>
        <w:rFonts w:hint="default" w:ascii="Times New Roman"/>
      </w:rPr>
    </w:lvl>
    <w:lvl w:ilvl="1" w:tentative="0">
      <w:start w:val="1"/>
      <w:numFmt w:val="lowerLetter"/>
      <w:lvlText w:val="%2)"/>
      <w:lvlJc w:val="left"/>
      <w:pPr>
        <w:tabs>
          <w:tab w:val="left" w:pos="840"/>
        </w:tabs>
        <w:ind w:left="840" w:hanging="420"/>
      </w:pPr>
      <w:rPr>
        <w:rFonts w:hint="default" w:ascii="Times New Roman"/>
      </w:rPr>
    </w:lvl>
    <w:lvl w:ilvl="2" w:tentative="0">
      <w:start w:val="1"/>
      <w:numFmt w:val="lowerRoman"/>
      <w:lvlText w:val="%3."/>
      <w:lvlJc w:val="right"/>
      <w:pPr>
        <w:tabs>
          <w:tab w:val="left" w:pos="1260"/>
        </w:tabs>
        <w:ind w:left="1260" w:hanging="420"/>
      </w:pPr>
      <w:rPr>
        <w:rFonts w:hint="default" w:ascii="Times New Roman"/>
      </w:rPr>
    </w:lvl>
    <w:lvl w:ilvl="3" w:tentative="0">
      <w:start w:val="1"/>
      <w:numFmt w:val="decimal"/>
      <w:lvlText w:val="%4."/>
      <w:lvlJc w:val="left"/>
      <w:pPr>
        <w:tabs>
          <w:tab w:val="left" w:pos="1680"/>
        </w:tabs>
        <w:ind w:left="1680" w:hanging="420"/>
      </w:pPr>
      <w:rPr>
        <w:rFonts w:hint="default" w:ascii="Times New Roman"/>
      </w:rPr>
    </w:lvl>
    <w:lvl w:ilvl="4" w:tentative="0">
      <w:start w:val="1"/>
      <w:numFmt w:val="lowerLetter"/>
      <w:lvlText w:val="%5)"/>
      <w:lvlJc w:val="left"/>
      <w:pPr>
        <w:tabs>
          <w:tab w:val="left" w:pos="2100"/>
        </w:tabs>
        <w:ind w:left="2100" w:hanging="420"/>
      </w:pPr>
      <w:rPr>
        <w:rFonts w:hint="default" w:ascii="Times New Roman"/>
      </w:rPr>
    </w:lvl>
    <w:lvl w:ilvl="5" w:tentative="0">
      <w:start w:val="1"/>
      <w:numFmt w:val="lowerRoman"/>
      <w:lvlText w:val="%6."/>
      <w:lvlJc w:val="right"/>
      <w:pPr>
        <w:tabs>
          <w:tab w:val="left" w:pos="2520"/>
        </w:tabs>
        <w:ind w:left="2520" w:hanging="420"/>
      </w:pPr>
      <w:rPr>
        <w:rFonts w:hint="default" w:ascii="Times New Roman"/>
      </w:rPr>
    </w:lvl>
    <w:lvl w:ilvl="6" w:tentative="0">
      <w:start w:val="1"/>
      <w:numFmt w:val="decimal"/>
      <w:lvlText w:val="%7."/>
      <w:lvlJc w:val="left"/>
      <w:pPr>
        <w:tabs>
          <w:tab w:val="left" w:pos="2940"/>
        </w:tabs>
        <w:ind w:left="2940" w:hanging="420"/>
      </w:pPr>
      <w:rPr>
        <w:rFonts w:hint="default" w:ascii="Times New Roman"/>
      </w:rPr>
    </w:lvl>
    <w:lvl w:ilvl="7" w:tentative="0">
      <w:start w:val="1"/>
      <w:numFmt w:val="lowerLetter"/>
      <w:lvlText w:val="%8)"/>
      <w:lvlJc w:val="left"/>
      <w:pPr>
        <w:tabs>
          <w:tab w:val="left" w:pos="3360"/>
        </w:tabs>
        <w:ind w:left="3360" w:hanging="420"/>
      </w:pPr>
      <w:rPr>
        <w:rFonts w:hint="default" w:ascii="Times New Roman"/>
      </w:rPr>
    </w:lvl>
    <w:lvl w:ilvl="8" w:tentative="0">
      <w:start w:val="1"/>
      <w:numFmt w:val="lowerRoman"/>
      <w:lvlText w:val="%9."/>
      <w:lvlJc w:val="right"/>
      <w:pPr>
        <w:tabs>
          <w:tab w:val="left" w:pos="3780"/>
        </w:tabs>
        <w:ind w:left="3780" w:hanging="420"/>
      </w:pPr>
      <w:rPr>
        <w:rFonts w:hint="default" w:ascii="Times New Roman"/>
      </w:rPr>
    </w:lvl>
  </w:abstractNum>
  <w:abstractNum w:abstractNumId="3">
    <w:nsid w:val="0000000C"/>
    <w:multiLevelType w:val="multilevel"/>
    <w:tmpl w:val="0000000C"/>
    <w:lvl w:ilvl="0" w:tentative="0">
      <w:start w:val="1"/>
      <w:numFmt w:val="japaneseCounting"/>
      <w:lvlText w:val="（%1）"/>
      <w:lvlJc w:val="left"/>
      <w:pPr>
        <w:tabs>
          <w:tab w:val="left" w:pos="1080"/>
        </w:tabs>
        <w:ind w:left="1080" w:hanging="1080"/>
      </w:pPr>
      <w:rPr>
        <w:rFonts w:hint="default" w:ascii="Times New Roman"/>
      </w:rPr>
    </w:lvl>
    <w:lvl w:ilvl="1" w:tentative="0">
      <w:start w:val="1"/>
      <w:numFmt w:val="lowerLetter"/>
      <w:lvlText w:val="%2)"/>
      <w:lvlJc w:val="left"/>
      <w:pPr>
        <w:tabs>
          <w:tab w:val="left" w:pos="840"/>
        </w:tabs>
        <w:ind w:left="840" w:hanging="420"/>
      </w:pPr>
      <w:rPr>
        <w:rFonts w:hint="default" w:ascii="Times New Roman"/>
      </w:rPr>
    </w:lvl>
    <w:lvl w:ilvl="2" w:tentative="0">
      <w:start w:val="1"/>
      <w:numFmt w:val="lowerRoman"/>
      <w:lvlText w:val="%3."/>
      <w:lvlJc w:val="right"/>
      <w:pPr>
        <w:tabs>
          <w:tab w:val="left" w:pos="1260"/>
        </w:tabs>
        <w:ind w:left="1260" w:hanging="420"/>
      </w:pPr>
      <w:rPr>
        <w:rFonts w:hint="default" w:ascii="Times New Roman"/>
      </w:rPr>
    </w:lvl>
    <w:lvl w:ilvl="3" w:tentative="0">
      <w:start w:val="1"/>
      <w:numFmt w:val="decimal"/>
      <w:lvlText w:val="%4."/>
      <w:lvlJc w:val="left"/>
      <w:pPr>
        <w:tabs>
          <w:tab w:val="left" w:pos="1680"/>
        </w:tabs>
        <w:ind w:left="1680" w:hanging="420"/>
      </w:pPr>
      <w:rPr>
        <w:rFonts w:hint="default" w:ascii="Times New Roman"/>
      </w:rPr>
    </w:lvl>
    <w:lvl w:ilvl="4" w:tentative="0">
      <w:start w:val="1"/>
      <w:numFmt w:val="lowerLetter"/>
      <w:lvlText w:val="%5)"/>
      <w:lvlJc w:val="left"/>
      <w:pPr>
        <w:tabs>
          <w:tab w:val="left" w:pos="2100"/>
        </w:tabs>
        <w:ind w:left="2100" w:hanging="420"/>
      </w:pPr>
      <w:rPr>
        <w:rFonts w:hint="default" w:ascii="Times New Roman"/>
      </w:rPr>
    </w:lvl>
    <w:lvl w:ilvl="5" w:tentative="0">
      <w:start w:val="1"/>
      <w:numFmt w:val="lowerRoman"/>
      <w:lvlText w:val="%6."/>
      <w:lvlJc w:val="right"/>
      <w:pPr>
        <w:tabs>
          <w:tab w:val="left" w:pos="2520"/>
        </w:tabs>
        <w:ind w:left="2520" w:hanging="420"/>
      </w:pPr>
      <w:rPr>
        <w:rFonts w:hint="default" w:ascii="Times New Roman"/>
      </w:rPr>
    </w:lvl>
    <w:lvl w:ilvl="6" w:tentative="0">
      <w:start w:val="1"/>
      <w:numFmt w:val="decimal"/>
      <w:lvlText w:val="%7."/>
      <w:lvlJc w:val="left"/>
      <w:pPr>
        <w:tabs>
          <w:tab w:val="left" w:pos="2940"/>
        </w:tabs>
        <w:ind w:left="2940" w:hanging="420"/>
      </w:pPr>
      <w:rPr>
        <w:rFonts w:hint="default" w:ascii="Times New Roman"/>
      </w:rPr>
    </w:lvl>
    <w:lvl w:ilvl="7" w:tentative="0">
      <w:start w:val="1"/>
      <w:numFmt w:val="lowerLetter"/>
      <w:lvlText w:val="%8)"/>
      <w:lvlJc w:val="left"/>
      <w:pPr>
        <w:tabs>
          <w:tab w:val="left" w:pos="3360"/>
        </w:tabs>
        <w:ind w:left="3360" w:hanging="420"/>
      </w:pPr>
      <w:rPr>
        <w:rFonts w:hint="default" w:ascii="Times New Roman"/>
      </w:rPr>
    </w:lvl>
    <w:lvl w:ilvl="8" w:tentative="0">
      <w:start w:val="1"/>
      <w:numFmt w:val="lowerRoman"/>
      <w:lvlText w:val="%9."/>
      <w:lvlJc w:val="right"/>
      <w:pPr>
        <w:tabs>
          <w:tab w:val="left" w:pos="3780"/>
        </w:tabs>
        <w:ind w:left="3780" w:hanging="420"/>
      </w:pPr>
      <w:rPr>
        <w:rFonts w:hint="default" w:ascii="Times New Roman"/>
      </w:rPr>
    </w:lvl>
  </w:abstractNum>
  <w:abstractNum w:abstractNumId="4">
    <w:nsid w:val="0000001A"/>
    <w:multiLevelType w:val="multilevel"/>
    <w:tmpl w:val="0000001A"/>
    <w:lvl w:ilvl="0" w:tentative="0">
      <w:start w:val="1"/>
      <w:numFmt w:val="chineseCountingThousand"/>
      <w:lvlText w:val="(%1)"/>
      <w:lvlJc w:val="left"/>
      <w:pPr>
        <w:tabs>
          <w:tab w:val="left" w:pos="1080"/>
        </w:tabs>
        <w:ind w:left="0" w:firstLine="0"/>
      </w:pPr>
      <w:rPr>
        <w:rFonts w:hint="default"/>
        <w:lang w:val="en-US"/>
      </w:rPr>
    </w:lvl>
    <w:lvl w:ilvl="1" w:tentative="0">
      <w:start w:val="1"/>
      <w:numFmt w:val="lowerLetter"/>
      <w:lvlText w:val="%2)"/>
      <w:lvlJc w:val="left"/>
      <w:pPr>
        <w:tabs>
          <w:tab w:val="left" w:pos="840"/>
        </w:tabs>
        <w:ind w:left="840" w:hanging="420"/>
      </w:pPr>
      <w:rPr>
        <w:rFonts w:hint="default" w:ascii="Times New Roman"/>
      </w:rPr>
    </w:lvl>
    <w:lvl w:ilvl="2" w:tentative="0">
      <w:start w:val="1"/>
      <w:numFmt w:val="lowerRoman"/>
      <w:lvlText w:val="%3."/>
      <w:lvlJc w:val="right"/>
      <w:pPr>
        <w:tabs>
          <w:tab w:val="left" w:pos="1260"/>
        </w:tabs>
        <w:ind w:left="1260" w:hanging="420"/>
      </w:pPr>
      <w:rPr>
        <w:rFonts w:hint="default" w:ascii="Times New Roman"/>
      </w:rPr>
    </w:lvl>
    <w:lvl w:ilvl="3" w:tentative="0">
      <w:start w:val="1"/>
      <w:numFmt w:val="decimal"/>
      <w:lvlText w:val="%4."/>
      <w:lvlJc w:val="left"/>
      <w:pPr>
        <w:tabs>
          <w:tab w:val="left" w:pos="1680"/>
        </w:tabs>
        <w:ind w:left="1680" w:hanging="420"/>
      </w:pPr>
      <w:rPr>
        <w:rFonts w:hint="default" w:ascii="Times New Roman"/>
      </w:rPr>
    </w:lvl>
    <w:lvl w:ilvl="4" w:tentative="0">
      <w:start w:val="1"/>
      <w:numFmt w:val="lowerLetter"/>
      <w:lvlText w:val="%5)"/>
      <w:lvlJc w:val="left"/>
      <w:pPr>
        <w:tabs>
          <w:tab w:val="left" w:pos="2100"/>
        </w:tabs>
        <w:ind w:left="2100" w:hanging="420"/>
      </w:pPr>
      <w:rPr>
        <w:rFonts w:hint="default" w:ascii="Times New Roman"/>
      </w:rPr>
    </w:lvl>
    <w:lvl w:ilvl="5" w:tentative="0">
      <w:start w:val="1"/>
      <w:numFmt w:val="lowerRoman"/>
      <w:lvlText w:val="%6."/>
      <w:lvlJc w:val="right"/>
      <w:pPr>
        <w:tabs>
          <w:tab w:val="left" w:pos="2520"/>
        </w:tabs>
        <w:ind w:left="2520" w:hanging="420"/>
      </w:pPr>
      <w:rPr>
        <w:rFonts w:hint="default" w:ascii="Times New Roman"/>
      </w:rPr>
    </w:lvl>
    <w:lvl w:ilvl="6" w:tentative="0">
      <w:start w:val="1"/>
      <w:numFmt w:val="decimal"/>
      <w:lvlText w:val="%7."/>
      <w:lvlJc w:val="left"/>
      <w:pPr>
        <w:tabs>
          <w:tab w:val="left" w:pos="2940"/>
        </w:tabs>
        <w:ind w:left="2940" w:hanging="420"/>
      </w:pPr>
      <w:rPr>
        <w:rFonts w:hint="default" w:ascii="Times New Roman"/>
      </w:rPr>
    </w:lvl>
    <w:lvl w:ilvl="7" w:tentative="0">
      <w:start w:val="1"/>
      <w:numFmt w:val="lowerLetter"/>
      <w:lvlText w:val="%8)"/>
      <w:lvlJc w:val="left"/>
      <w:pPr>
        <w:tabs>
          <w:tab w:val="left" w:pos="3360"/>
        </w:tabs>
        <w:ind w:left="3360" w:hanging="420"/>
      </w:pPr>
      <w:rPr>
        <w:rFonts w:hint="default" w:ascii="Times New Roman"/>
      </w:rPr>
    </w:lvl>
    <w:lvl w:ilvl="8" w:tentative="0">
      <w:start w:val="1"/>
      <w:numFmt w:val="lowerRoman"/>
      <w:lvlText w:val="%9."/>
      <w:lvlJc w:val="right"/>
      <w:pPr>
        <w:tabs>
          <w:tab w:val="left" w:pos="3780"/>
        </w:tabs>
        <w:ind w:left="3780" w:hanging="420"/>
      </w:pPr>
      <w:rPr>
        <w:rFonts w:hint="default" w:ascii="Times New Roman"/>
      </w:rPr>
    </w:lvl>
  </w:abstractNum>
  <w:abstractNum w:abstractNumId="5">
    <w:nsid w:val="2F120B7B"/>
    <w:multiLevelType w:val="multilevel"/>
    <w:tmpl w:val="2F120B7B"/>
    <w:lvl w:ilvl="0" w:tentative="0">
      <w:start w:val="1"/>
      <w:numFmt w:val="japaneseCounting"/>
      <w:lvlText w:val="第%1章"/>
      <w:lvlJc w:val="left"/>
      <w:pPr>
        <w:ind w:left="420" w:hanging="420"/>
      </w:pPr>
      <w:rPr>
        <w:rFonts w:hint="default" w:ascii="黑体" w:hAnsi="黑体" w:eastAsia="黑体" w:cs="仿宋_GB2312"/>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8ED4CBB"/>
    <w:multiLevelType w:val="multilevel"/>
    <w:tmpl w:val="58ED4CBB"/>
    <w:lvl w:ilvl="0" w:tentative="0">
      <w:start w:val="1"/>
      <w:numFmt w:val="japaneseCounting"/>
      <w:lvlText w:val="（%1）"/>
      <w:lvlJc w:val="left"/>
      <w:pPr>
        <w:tabs>
          <w:tab w:val="left" w:pos="1680"/>
        </w:tabs>
        <w:ind w:left="1680" w:hanging="1080"/>
      </w:pPr>
      <w:rPr>
        <w:rFonts w:hint="default" w:ascii="Times New Roman"/>
      </w:rPr>
    </w:lvl>
    <w:lvl w:ilvl="1" w:tentative="0">
      <w:start w:val="1"/>
      <w:numFmt w:val="lowerLetter"/>
      <w:lvlText w:val="%2)"/>
      <w:lvlJc w:val="left"/>
      <w:pPr>
        <w:tabs>
          <w:tab w:val="left" w:pos="1440"/>
        </w:tabs>
        <w:ind w:left="1440" w:hanging="420"/>
      </w:pPr>
      <w:rPr>
        <w:rFonts w:hint="default" w:ascii="Times New Roman"/>
      </w:rPr>
    </w:lvl>
    <w:lvl w:ilvl="2" w:tentative="0">
      <w:start w:val="1"/>
      <w:numFmt w:val="lowerRoman"/>
      <w:lvlText w:val="%3."/>
      <w:lvlJc w:val="right"/>
      <w:pPr>
        <w:tabs>
          <w:tab w:val="left" w:pos="1860"/>
        </w:tabs>
        <w:ind w:left="1860" w:hanging="420"/>
      </w:pPr>
      <w:rPr>
        <w:rFonts w:hint="default" w:ascii="Times New Roman"/>
      </w:rPr>
    </w:lvl>
    <w:lvl w:ilvl="3" w:tentative="0">
      <w:start w:val="1"/>
      <w:numFmt w:val="decimal"/>
      <w:lvlText w:val="%4."/>
      <w:lvlJc w:val="left"/>
      <w:pPr>
        <w:tabs>
          <w:tab w:val="left" w:pos="2280"/>
        </w:tabs>
        <w:ind w:left="2280" w:hanging="420"/>
      </w:pPr>
      <w:rPr>
        <w:rFonts w:hint="default" w:ascii="Times New Roman"/>
      </w:rPr>
    </w:lvl>
    <w:lvl w:ilvl="4" w:tentative="0">
      <w:start w:val="1"/>
      <w:numFmt w:val="lowerLetter"/>
      <w:lvlText w:val="%5)"/>
      <w:lvlJc w:val="left"/>
      <w:pPr>
        <w:tabs>
          <w:tab w:val="left" w:pos="2700"/>
        </w:tabs>
        <w:ind w:left="2700" w:hanging="420"/>
      </w:pPr>
      <w:rPr>
        <w:rFonts w:hint="default" w:ascii="Times New Roman"/>
      </w:rPr>
    </w:lvl>
    <w:lvl w:ilvl="5" w:tentative="0">
      <w:start w:val="1"/>
      <w:numFmt w:val="lowerRoman"/>
      <w:lvlText w:val="%6."/>
      <w:lvlJc w:val="right"/>
      <w:pPr>
        <w:tabs>
          <w:tab w:val="left" w:pos="3120"/>
        </w:tabs>
        <w:ind w:left="3120" w:hanging="420"/>
      </w:pPr>
      <w:rPr>
        <w:rFonts w:hint="default" w:ascii="Times New Roman"/>
      </w:rPr>
    </w:lvl>
    <w:lvl w:ilvl="6" w:tentative="0">
      <w:start w:val="1"/>
      <w:numFmt w:val="decimal"/>
      <w:lvlText w:val="%7."/>
      <w:lvlJc w:val="left"/>
      <w:pPr>
        <w:tabs>
          <w:tab w:val="left" w:pos="3540"/>
        </w:tabs>
        <w:ind w:left="3540" w:hanging="420"/>
      </w:pPr>
      <w:rPr>
        <w:rFonts w:hint="default" w:ascii="Times New Roman"/>
      </w:rPr>
    </w:lvl>
    <w:lvl w:ilvl="7" w:tentative="0">
      <w:start w:val="1"/>
      <w:numFmt w:val="lowerLetter"/>
      <w:lvlText w:val="%8)"/>
      <w:lvlJc w:val="left"/>
      <w:pPr>
        <w:tabs>
          <w:tab w:val="left" w:pos="3960"/>
        </w:tabs>
        <w:ind w:left="3960" w:hanging="420"/>
      </w:pPr>
      <w:rPr>
        <w:rFonts w:hint="default" w:ascii="Times New Roman"/>
      </w:rPr>
    </w:lvl>
    <w:lvl w:ilvl="8" w:tentative="0">
      <w:start w:val="1"/>
      <w:numFmt w:val="lowerRoman"/>
      <w:lvlText w:val="%9."/>
      <w:lvlJc w:val="right"/>
      <w:pPr>
        <w:tabs>
          <w:tab w:val="left" w:pos="4380"/>
        </w:tabs>
        <w:ind w:left="4380" w:hanging="420"/>
      </w:pPr>
      <w:rPr>
        <w:rFonts w:hint="default" w:ascii="Times New Roman"/>
      </w:rPr>
    </w:lvl>
  </w:abstractNum>
  <w:abstractNum w:abstractNumId="7">
    <w:nsid w:val="7435767F"/>
    <w:multiLevelType w:val="multilevel"/>
    <w:tmpl w:val="7435767F"/>
    <w:lvl w:ilvl="0" w:tentative="0">
      <w:start w:val="1"/>
      <w:numFmt w:val="japaneseCounting"/>
      <w:suff w:val="space"/>
      <w:lvlText w:val="第%1条"/>
      <w:lvlJc w:val="left"/>
      <w:pPr>
        <w:ind w:left="2214" w:hanging="1080"/>
      </w:pPr>
      <w:rPr>
        <w:rFonts w:hint="eastAsia" w:ascii="仿宋_GB2312" w:hAnsi="仿宋_GB2312" w:eastAsia="仿宋_GB2312" w:cs="仿宋_GB2312"/>
        <w:b/>
        <w:color w:val="000000"/>
        <w:sz w:val="32"/>
        <w:szCs w:val="32"/>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1"/>
  </w:num>
  <w:num w:numId="2">
    <w:abstractNumId w:val="5"/>
  </w:num>
  <w:num w:numId="3">
    <w:abstractNumId w:val="7"/>
  </w:num>
  <w:num w:numId="4">
    <w:abstractNumId w:val="3"/>
  </w:num>
  <w:num w:numId="5">
    <w:abstractNumId w:val="0"/>
  </w:num>
  <w:num w:numId="6">
    <w:abstractNumId w:val="2"/>
  </w:num>
  <w:num w:numId="7">
    <w:abstractNumId w:val="6"/>
  </w:num>
  <w:num w:numId="8">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zoom w:percent="100"/>
  <w:embedSystemFonts/>
  <w:bordersDoNotSurroundHeader w:val="false"/>
  <w:bordersDoNotSurroundFooter w:val="false"/>
  <w:documentProtection w:edit="forms" w:enforcement="true" w:cryptProviderType="rsaAES" w:cryptAlgorithmClass="hash" w:cryptAlgorithmType="typeAny" w:cryptAlgorithmSid="14" w:cryptSpinCount="100000" w:hash="wWaqeqZysCnTg6K4uehQhml2UINEQwjq3d6K47OsQXXSPM+hZwIXBnI7fMihG+lYhiz7DVW0NejCGFiggCuS8w==" w:salt="LaxQqlFPW4npYj5Y75fV4w=="/>
  <w:defaultTabStop w:val="420"/>
  <w:drawingGridVerticalSpacing w:val="156"/>
  <w:displayHorizontalDrawingGridEvery w:val="1"/>
  <w:displayVerticalDrawingGridEvery w:val="1"/>
  <w:noPunctuationKerning w:val="true"/>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5174E"/>
    <w:rsid w:val="083C1382"/>
    <w:rsid w:val="08495268"/>
    <w:rsid w:val="0953256F"/>
    <w:rsid w:val="0A2D56AE"/>
    <w:rsid w:val="11DD4E9D"/>
    <w:rsid w:val="171A457C"/>
    <w:rsid w:val="18D437FE"/>
    <w:rsid w:val="1ACD3848"/>
    <w:rsid w:val="201544AE"/>
    <w:rsid w:val="20890CBD"/>
    <w:rsid w:val="20BA5982"/>
    <w:rsid w:val="20F9547C"/>
    <w:rsid w:val="25DF5E80"/>
    <w:rsid w:val="26803BF5"/>
    <w:rsid w:val="281F2CB2"/>
    <w:rsid w:val="2C6734B8"/>
    <w:rsid w:val="31D826CF"/>
    <w:rsid w:val="345F35D6"/>
    <w:rsid w:val="347C6B86"/>
    <w:rsid w:val="39E62EAA"/>
    <w:rsid w:val="39EC1CEF"/>
    <w:rsid w:val="3B2660D6"/>
    <w:rsid w:val="3B546449"/>
    <w:rsid w:val="3D641846"/>
    <w:rsid w:val="3DFE27D3"/>
    <w:rsid w:val="3F3456AD"/>
    <w:rsid w:val="400B5DE1"/>
    <w:rsid w:val="418C7946"/>
    <w:rsid w:val="452A15F9"/>
    <w:rsid w:val="47DA5B00"/>
    <w:rsid w:val="4AE83349"/>
    <w:rsid w:val="4DBA1A88"/>
    <w:rsid w:val="4EA131A4"/>
    <w:rsid w:val="507F65FE"/>
    <w:rsid w:val="52171C88"/>
    <w:rsid w:val="544D5C2E"/>
    <w:rsid w:val="57D82F94"/>
    <w:rsid w:val="584E725C"/>
    <w:rsid w:val="5A1065E5"/>
    <w:rsid w:val="5BCB13F8"/>
    <w:rsid w:val="5E78576E"/>
    <w:rsid w:val="5EBC01BA"/>
    <w:rsid w:val="603805F3"/>
    <w:rsid w:val="6106186D"/>
    <w:rsid w:val="637F7B11"/>
    <w:rsid w:val="64677BFF"/>
    <w:rsid w:val="677B432D"/>
    <w:rsid w:val="6999723F"/>
    <w:rsid w:val="6A5B10BF"/>
    <w:rsid w:val="6B0D5B02"/>
    <w:rsid w:val="6EDC5A47"/>
    <w:rsid w:val="701C6798"/>
    <w:rsid w:val="70435AC9"/>
    <w:rsid w:val="70EB11B0"/>
    <w:rsid w:val="710F774F"/>
    <w:rsid w:val="71C62D81"/>
    <w:rsid w:val="72B90222"/>
    <w:rsid w:val="7685205C"/>
    <w:rsid w:val="770D5DC5"/>
    <w:rsid w:val="7FAF1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仿宋_GB2312" w:cs="Times New Roman"/>
      <w:kern w:val="2"/>
      <w:sz w:val="32"/>
      <w:lang w:val="en-US" w:eastAsia="zh-CN" w:bidi="ar-SA"/>
    </w:rPr>
  </w:style>
  <w:style w:type="paragraph" w:styleId="2">
    <w:name w:val="heading 1"/>
    <w:basedOn w:val="1"/>
    <w:next w:val="1"/>
    <w:qFormat/>
    <w:uiPriority w:val="9"/>
    <w:pPr>
      <w:numPr>
        <w:ilvl w:val="0"/>
        <w:numId w:val="1"/>
      </w:numPr>
      <w:adjustRightInd w:val="0"/>
      <w:snapToGrid w:val="0"/>
      <w:spacing w:line="360" w:lineRule="auto"/>
      <w:ind w:left="0" w:firstLine="0" w:firstLineChars="0"/>
      <w:jc w:val="center"/>
      <w:outlineLvl w:val="0"/>
    </w:pPr>
    <w:rPr>
      <w:rFonts w:hint="default" w:ascii="黑体" w:hAnsi="黑体" w:eastAsia="黑体"/>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99"/>
    <w:pPr>
      <w:tabs>
        <w:tab w:val="center" w:pos="4153"/>
        <w:tab w:val="right" w:pos="8306"/>
      </w:tabs>
      <w:overflowPunct w:val="0"/>
      <w:autoSpaceDE w:val="0"/>
      <w:autoSpaceDN w:val="0"/>
      <w:adjustRightInd w:val="0"/>
      <w:textAlignment w:val="baseline"/>
    </w:pPr>
    <w:rPr>
      <w:sz w:val="18"/>
    </w:rPr>
  </w:style>
  <w:style w:type="paragraph" w:styleId="5">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6">
    <w:name w:val="footnote text"/>
    <w:basedOn w:val="1"/>
    <w:qFormat/>
    <w:uiPriority w:val="0"/>
    <w:pPr>
      <w:snapToGrid w:val="0"/>
      <w:jc w:val="left"/>
    </w:pPr>
    <w:rPr>
      <w:sz w:val="18"/>
    </w:rPr>
  </w:style>
  <w:style w:type="table" w:styleId="8">
    <w:name w:val="Table Grid"/>
    <w:basedOn w:val="7"/>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Strong"/>
    <w:basedOn w:val="9"/>
    <w:qFormat/>
    <w:uiPriority w:val="0"/>
    <w:rPr>
      <w:b/>
      <w:bCs/>
    </w:rPr>
  </w:style>
  <w:style w:type="character" w:styleId="11">
    <w:name w:val="FollowedHyperlink"/>
    <w:basedOn w:val="9"/>
    <w:qFormat/>
    <w:uiPriority w:val="0"/>
    <w:rPr>
      <w:color w:val="337AB7"/>
      <w:u w:val="none"/>
    </w:rPr>
  </w:style>
  <w:style w:type="character" w:styleId="12">
    <w:name w:val="HTML Definition"/>
    <w:basedOn w:val="9"/>
    <w:qFormat/>
    <w:uiPriority w:val="0"/>
    <w:rPr>
      <w:i/>
      <w:iCs/>
    </w:rPr>
  </w:style>
  <w:style w:type="character" w:styleId="13">
    <w:name w:val="Hyperlink"/>
    <w:basedOn w:val="9"/>
    <w:unhideWhenUsed/>
    <w:qFormat/>
    <w:uiPriority w:val="99"/>
    <w:rPr>
      <w:color w:val="0563C1" w:themeColor="hyperlink"/>
      <w:u w:val="single"/>
      <w14:textFill>
        <w14:solidFill>
          <w14:schemeClr w14:val="hlink"/>
        </w14:solidFill>
      </w14:textFill>
    </w:rPr>
  </w:style>
  <w:style w:type="character" w:styleId="14">
    <w:name w:val="HTML Code"/>
    <w:basedOn w:val="9"/>
    <w:uiPriority w:val="0"/>
    <w:rPr>
      <w:rFonts w:hint="default" w:ascii="Consolas" w:hAnsi="Consolas" w:eastAsia="Consolas" w:cs="Consolas"/>
      <w:color w:val="C7254E"/>
      <w:sz w:val="21"/>
      <w:szCs w:val="21"/>
      <w:shd w:val="clear" w:fill="F9F2F4"/>
    </w:rPr>
  </w:style>
  <w:style w:type="character" w:styleId="15">
    <w:name w:val="footnote reference"/>
    <w:basedOn w:val="9"/>
    <w:qFormat/>
    <w:uiPriority w:val="0"/>
    <w:rPr>
      <w:vertAlign w:val="superscript"/>
    </w:rPr>
  </w:style>
  <w:style w:type="character" w:styleId="16">
    <w:name w:val="HTML Keyboard"/>
    <w:basedOn w:val="9"/>
    <w:qFormat/>
    <w:uiPriority w:val="0"/>
    <w:rPr>
      <w:rFonts w:hint="default" w:ascii="Consolas" w:hAnsi="Consolas" w:eastAsia="Consolas" w:cs="Consolas"/>
      <w:color w:val="FFFFFF"/>
      <w:sz w:val="21"/>
      <w:szCs w:val="21"/>
      <w:shd w:val="clear" w:fill="333333"/>
    </w:rPr>
  </w:style>
  <w:style w:type="character" w:styleId="17">
    <w:name w:val="HTML Sample"/>
    <w:basedOn w:val="9"/>
    <w:qFormat/>
    <w:uiPriority w:val="0"/>
    <w:rPr>
      <w:rFonts w:ascii="Consolas" w:hAnsi="Consolas" w:eastAsia="Consolas" w:cs="Consolas"/>
      <w:sz w:val="21"/>
      <w:szCs w:val="21"/>
    </w:rPr>
  </w:style>
  <w:style w:type="paragraph" w:customStyle="1" w:styleId="18">
    <w:name w:val="TOC Heading"/>
    <w:basedOn w:val="2"/>
    <w:next w:val="1"/>
    <w:unhideWhenUsed/>
    <w:qFormat/>
    <w:uiPriority w:val="39"/>
    <w:pPr>
      <w:keepNext/>
      <w:keepLines/>
      <w:widowControl/>
      <w:numPr>
        <w:numId w:val="0"/>
      </w:numPr>
      <w:adjustRightInd/>
      <w:snapToGrid/>
      <w:spacing w:before="240" w:line="259" w:lineRule="auto"/>
      <w:jc w:val="left"/>
      <w:outlineLvl w:val="9"/>
    </w:pPr>
    <w:rPr>
      <w:rFonts w:asciiTheme="majorHAnsi" w:hAnsiTheme="majorHAnsi" w:eastAsiaTheme="majorEastAsia" w:cstheme="majorBidi"/>
      <w:color w:val="2E75B6" w:themeColor="accent1" w:themeShade="BF"/>
      <w:kern w:val="0"/>
    </w:rPr>
  </w:style>
  <w:style w:type="paragraph" w:customStyle="1" w:styleId="19">
    <w:name w:val="列出段落1"/>
    <w:basedOn w:val="1"/>
    <w:qFormat/>
    <w:uiPriority w:val="0"/>
    <w:pPr>
      <w:ind w:firstLine="420" w:firstLineChars="200"/>
    </w:pPr>
    <w:rPr>
      <w:rFonts w:hint="eastAsia"/>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
    <Relationship Target="fontTable.xml" Type="http://schemas.openxmlformats.org/officeDocument/2006/relationships/fontTable" Id="rId9"/>
    <Relationship Target="numbering.xml" Type="http://schemas.openxmlformats.org/officeDocument/2006/relationships/numbering" Id="rId8"/>
    <Relationship Target="../customXml/item1.xml" Type="http://schemas.openxmlformats.org/officeDocument/2006/relationships/customXml" Id="rId7"/>
    <Relationship Target="theme/theme1.xml" Type="http://schemas.openxmlformats.org/officeDocument/2006/relationships/theme" Id="rId6"/>
    <Relationship Target="footer1.xml" Type="http://schemas.openxmlformats.org/officeDocument/2006/relationships/footer" Id="rId5"/>
    <Relationship Target="endnotes.xml" Type="http://schemas.openxmlformats.org/officeDocument/2006/relationships/endnotes" Id="rId4"/>
    <Relationship Target="footnotes.xml" Type="http://schemas.openxmlformats.org/officeDocument/2006/relationships/footnotes" Id="rId3"/>
    <Relationship Target="settings.xml" Type="http://schemas.openxmlformats.org/officeDocument/2006/relationships/settings" Id="rId2"/>
    <Relationship Target="styles.xml" Type="http://schemas.openxmlformats.org/officeDocument/2006/relationships/styles" Id="rId1"/>
    <Relationship Target="header.xml" Type="http://schemas.openxmlformats.org/officeDocument/2006/relationships/header" Id="rId10"/>
</Relationships>

</file>

<file path=word/_rels/header.xml.rels><?xml version="1.0" encoding="UTF-8" standalone="yes"?>
<Relationships xmlns="http://schemas.openxmlformats.org/package/2006/relationships">
    <Relationship Target="../media/background.png" Type="http://schemas.openxmlformats.org/officeDocument/2006/relationships/image" Id="rId1"/>
    <Relationship Target="media/header_image_rId2.png" Type="http://schemas.openxmlformats.org/officeDocument/2006/relationships/image" Id="rId2"/>
    <Relationship Target="media/header_image_rId3.png" Type="http://schemas.openxmlformats.org/officeDocument/2006/relationships/image" Id="rId3"/>
    <Relationship Target="media/header_image_rId4.png" Type="http://schemas.openxmlformats.org/officeDocument/2006/relationships/image" Id="rId4"/>
    <Relationship Target="media/header_image_rId5.jpeg" Type="http://schemas.openxmlformats.org/officeDocument/2006/relationships/image" Id="rId5"/>
    <Relationship Target="media/header_image_rId6.jpeg" Type="http://schemas.openxmlformats.org/officeDocument/2006/relationships/image" Id="rId6"/>
    <Relationship Target="media/header_image_rId7.jpeg" Type="http://schemas.openxmlformats.org/officeDocument/2006/relationships/image" Id="rId7"/>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Pages>1</properties:Pages>
  <properties:Words>0</properties:Words>
  <properties:Characters>0</properties:Characters>
  <properties:Lines>0</properties:Lines>
  <properties:Paragraphs>0</properties:Paragraphs>
  <properties:TotalTime>36</properties:TotalTime>
  <properties:ScaleCrop>false</properties:ScaleCrop>
  <properties:LinksUpToDate>false</properties:LinksUpToDate>
  <properties:CharactersWithSpaces>0</properties:CharactersWithSpaces>
  <properties:Application>WPS Office_11.8.2.10229_F1E327BC-269C-435d-A152-05C5408002CA</properties:Application>
  <properties:DocSecurity>0</properties:DocSecurity>
</properties:Properties>
</file>

<file path=docProps/core.xml><?xml version="1.0" encoding="utf-8"?>
<cp:coreProperties xmlns:cp="http://schemas.openxmlformats.org/package/2006/metadata/core-properties" xmlns:dcterms="http://purl.org/dc/terms/" xmlns:dc="http://purl.org/dc/elements/1.1/">
  <cp:contentStatus>Final</cp:contentStatus>
  <dcterms:created xmlns:xsi="http://www.w3.org/2001/XMLSchema-instance" xsi:type="dcterms:W3CDTF">2021-09-07T09:33:00Z</dcterms:created>
  <dc:creator>86150</dc:creator>
  <cp:lastModifiedBy>秦诗瑶</cp:lastModifiedBy>
  <dcterms:modified xmlns:xsi="http://www.w3.org/2001/XMLSchema-instance" xsi:type="dcterms:W3CDTF">2021-11-26T08:05:16Z</dcterms:modified>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KSOProductBuildVer">
    <vt:lpwstr>2052-11.8.2.10229</vt:lpwstr>
  </prop:property>
  <prop:property fmtid="{D5CDD505-2E9C-101B-9397-08002B2CF9AE}" pid="3" name="_MarkAsFinal">
    <vt:bool>true</vt:bool>
  </prop:property>
</prop:Properties>
</file>