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image/png" PartName="/media/background.png"/>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xml"/>
  <Override ContentType="image/png" PartName="/word/media/header_image_rId2.png"/>
  <Override ContentType="image/png" PartName="/word/media/header_image_rId3.png"/>
  <Override ContentType="image/png" PartName="/word/media/header_image_rId4.png"/>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
    <Relationship Target="word/document.xml" Type="http://schemas.openxmlformats.org/officeDocument/2006/relationships/officeDocument" Id="rId4"/>
    <Relationship Target="docProps/core.xml" Type="http://schemas.openxmlformats.org/package/2006/relationships/metadata/core-properties" Id="rId2"/>
    <Relationship Target="docProps/app.xml" Type="http://schemas.openxmlformats.org/officeDocument/2006/relationships/extended-properties" Id="rId1"/>
    <Relationship Target="docProps/custom.xml" Type="http://schemas.openxmlformats.org/officeDocument/2006/relationships/custom-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w14 w15 wp14">
  <w:body>
    <!-- Modified by docx4j 6.1.0 (Apache licensed) using REFERENCE JAXB in IcedTea Java 1.8.0_345 on Linux -->
    <w:p>
      <w:pPr>
        <w:pStyle w:val="6"/>
      </w:pPr>
      <w:bookmarkStart w:name="_GoBack" w:id="0"/>
      <w:bookmarkEnd w:id="0"/>
      <w:r>
        <w:rPr>
          <w:rFonts w:hint="eastAsia"/>
        </w:rPr>
        <w:t>中国移动网络安全风险警示名单处理规则</w:t>
      </w:r>
    </w:p>
    <w:p>
      <w:pPr>
        <w:pStyle w:val="6"/>
      </w:pPr>
      <w:r>
        <w:rPr>
          <w:rFonts w:hint="eastAsia"/>
        </w:rPr>
        <w:t>（202</w:t>
      </w:r>
      <w:r>
        <w:t>2</w:t>
      </w:r>
      <w:r>
        <w:rPr>
          <w:rFonts w:hint="eastAsia"/>
        </w:rPr>
        <w:t>年）</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ascii="仿宋_GB2312" w:hAnsi="方正仿宋_GBK"/>
          <w:sz w:val="28"/>
          <w:szCs w:val="28"/>
        </w:rPr>
        <w:t>为有效降低网络安全风险，提升供应链安全水平，推进构建尽责、诚信、自律的电信和互联网行业网络安全良性生态，中国通信企业协会通信网络安全专业委员会（以下简称通企协会）联合行业自律成员单位共同建立了电信和互联网行业网络安全风险警示企业名单自律管理制度，中国移动成为首批行业自律成员单位。通企协会组织开展风险警示名单管理。</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ascii="仿宋_GB2312" w:hAnsi="方正仿宋_GBK"/>
          <w:sz w:val="28"/>
          <w:szCs w:val="28"/>
        </w:rPr>
        <w:t>电信和互联网行业网络安全风险警示企业名单是指将违反网络安全相关法律、法规、规章、政策及可能对网络基础设施造成重大网络安全风险的供应商，列入风险警示名单，督促供应商落实网络安全主体责任，促进产品高质量供给，规范安全服务行为。</w:t>
      </w:r>
    </w:p>
    <w:p>
      <w:pPr>
        <w:pStyle w:val="3"/>
        <w:tabs>
          <w:tab w:val="left" w:pos="1580"/>
          <w:tab w:val="left" w:pos="1619"/>
        </w:tabs>
        <w:adjustRightInd w:val="false"/>
        <w:snapToGrid w:val="false"/>
        <w:spacing w:line="360" w:lineRule="auto"/>
        <w:ind w:firstLine="0" w:firstLineChars="0"/>
        <w:jc w:val="left"/>
        <w:textAlignment w:val="baseline"/>
        <w:rPr>
          <w:rFonts w:hint="default" w:ascii="仿宋_GB2312" w:hAnsi="方正仿宋_GBK"/>
          <w:b/>
          <w:bCs/>
          <w:sz w:val="28"/>
          <w:szCs w:val="28"/>
        </w:rPr>
      </w:pPr>
      <w:r>
        <w:rPr>
          <w:rFonts w:ascii="仿宋_GB2312" w:hAnsi="方正仿宋_GBK"/>
          <w:b/>
          <w:bCs/>
          <w:sz w:val="28"/>
          <w:szCs w:val="28"/>
        </w:rPr>
        <w:t>一、网络安全风险警示名单的认定与分级标准</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ascii="仿宋_GB2312" w:hAnsi="方正仿宋_GBK"/>
          <w:sz w:val="28"/>
          <w:szCs w:val="28"/>
        </w:rPr>
        <w:t>风险警示名单采取分级管理方式，按照情节严重程度从高到低分为红色警示名单和黄色警示名单。</w:t>
      </w:r>
    </w:p>
    <w:p>
      <w:pPr>
        <w:pStyle w:val="3"/>
        <w:tabs>
          <w:tab w:val="left" w:pos="1580"/>
          <w:tab w:val="left" w:pos="1619"/>
        </w:tabs>
        <w:adjustRightInd w:val="false"/>
        <w:snapToGrid w:val="false"/>
        <w:spacing w:line="360" w:lineRule="auto"/>
        <w:ind w:firstLine="562"/>
        <w:jc w:val="left"/>
        <w:textAlignment w:val="baseline"/>
        <w:rPr>
          <w:rFonts w:hint="default" w:ascii="仿宋_GB2312" w:hAnsi="方正仿宋_GBK"/>
          <w:b/>
          <w:sz w:val="28"/>
          <w:szCs w:val="28"/>
        </w:rPr>
      </w:pPr>
      <w:r>
        <w:rPr>
          <w:rFonts w:hint="default" w:ascii="仿宋_GB2312" w:hAnsi="方正仿宋_GBK"/>
          <w:b/>
          <w:sz w:val="28"/>
          <w:szCs w:val="28"/>
        </w:rPr>
        <w:t>（一）红色警示名单</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ascii="仿宋_GB2312" w:hAnsi="方正仿宋_GBK"/>
          <w:sz w:val="28"/>
          <w:szCs w:val="28"/>
        </w:rPr>
        <w:t>对符合下列情形之一的供应商，纳入红色警示名单：</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hint="default" w:ascii="仿宋_GB2312" w:hAnsi="方正仿宋_GBK"/>
          <w:sz w:val="28"/>
          <w:szCs w:val="28"/>
        </w:rPr>
        <w:t>1.</w:t>
      </w:r>
      <w:r>
        <w:rPr>
          <w:rFonts w:ascii="仿宋_GB2312" w:hAnsi="方正仿宋_GBK"/>
          <w:sz w:val="28"/>
          <w:szCs w:val="28"/>
        </w:rPr>
        <w:t>违反网络安全有关法律法规、部门规章或者政策文件，受到电信主管部门等有关机关行政处罚、刑事制裁的：</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hint="default" w:ascii="仿宋_GB2312" w:hAnsi="方正仿宋_GBK"/>
          <w:sz w:val="28"/>
          <w:szCs w:val="28"/>
        </w:rPr>
        <w:t>2.</w:t>
      </w:r>
      <w:r>
        <w:rPr>
          <w:rFonts w:ascii="仿宋_GB2312" w:hAnsi="方正仿宋_GBK"/>
          <w:sz w:val="28"/>
          <w:szCs w:val="28"/>
        </w:rPr>
        <w:t>网络安全责任落实不到位，导致电信行业关键信息基础设施发生重大网络安全事件或者为网络基础设施带来重大安全威胁，且拒不改正的：</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hint="default" w:ascii="仿宋_GB2312" w:hAnsi="方正仿宋_GBK"/>
          <w:sz w:val="28"/>
          <w:szCs w:val="28"/>
        </w:rPr>
        <w:t>3.</w:t>
      </w:r>
      <w:r>
        <w:rPr>
          <w:rFonts w:ascii="仿宋_GB2312" w:hAnsi="方正仿宋_GBK"/>
          <w:sz w:val="28"/>
          <w:szCs w:val="28"/>
        </w:rPr>
        <w:t>其他严重危害电信和互联网行业网络安全的。</w:t>
      </w:r>
    </w:p>
    <w:p>
      <w:pPr>
        <w:pStyle w:val="3"/>
        <w:tabs>
          <w:tab w:val="left" w:pos="1580"/>
          <w:tab w:val="left" w:pos="1619"/>
        </w:tabs>
        <w:adjustRightInd w:val="false"/>
        <w:snapToGrid w:val="false"/>
        <w:spacing w:line="360" w:lineRule="auto"/>
        <w:ind w:firstLine="562"/>
        <w:jc w:val="left"/>
        <w:textAlignment w:val="baseline"/>
        <w:rPr>
          <w:rFonts w:hint="default" w:ascii="仿宋_GB2312" w:hAnsi="方正仿宋_GBK"/>
          <w:b/>
          <w:sz w:val="28"/>
          <w:szCs w:val="28"/>
        </w:rPr>
      </w:pPr>
      <w:r>
        <w:rPr>
          <w:rFonts w:hint="default" w:ascii="仿宋_GB2312" w:hAnsi="方正仿宋_GBK"/>
          <w:b/>
          <w:sz w:val="28"/>
          <w:szCs w:val="28"/>
        </w:rPr>
        <w:t>（二）黄色警示名单</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ascii="仿宋_GB2312" w:hAnsi="方正仿宋_GBK"/>
          <w:sz w:val="28"/>
          <w:szCs w:val="28"/>
        </w:rPr>
        <w:t>对符合下列情形之一的网络产品和服务提供者，纳入黄色警示名单。</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hint="default" w:ascii="仿宋_GB2312" w:hAnsi="方正仿宋_GBK"/>
          <w:sz w:val="28"/>
          <w:szCs w:val="28"/>
        </w:rPr>
        <w:t>1.</w:t>
      </w:r>
      <w:r>
        <w:rPr>
          <w:rFonts w:ascii="仿宋_GB2312" w:hAnsi="方正仿宋_GBK"/>
          <w:sz w:val="28"/>
          <w:szCs w:val="28"/>
        </w:rPr>
        <w:t>受到电信主管部门等行政机关约谈、通报，或者受信息通信网络安全响应中心、工业和信息化部网络安全威胁和漏洞信息共享平台等有关机构单位网络安全通报的；</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hint="default" w:ascii="仿宋_GB2312" w:hAnsi="方正仿宋_GBK"/>
          <w:sz w:val="28"/>
          <w:szCs w:val="28"/>
        </w:rPr>
        <w:t>2.</w:t>
      </w:r>
      <w:r>
        <w:rPr>
          <w:rFonts w:ascii="仿宋_GB2312" w:hAnsi="方正仿宋_GBK"/>
          <w:sz w:val="28"/>
          <w:szCs w:val="28"/>
        </w:rPr>
        <w:t>网络产品、服务存在严重安全缺陷、漏洞等风险时，未及时采取有效补救措施，未按规定告知用户并向主管部门报告的，或者违规公开发布网络安全漏洞的，并经主管部门认定情节较严重或者造成重大影响的；</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hint="default" w:ascii="仿宋_GB2312" w:hAnsi="方正仿宋_GBK"/>
          <w:sz w:val="28"/>
          <w:szCs w:val="28"/>
        </w:rPr>
        <w:t>3.</w:t>
      </w:r>
      <w:r>
        <w:rPr>
          <w:rFonts w:ascii="仿宋_GB2312" w:hAnsi="方正仿宋_GBK"/>
          <w:sz w:val="28"/>
          <w:szCs w:val="28"/>
        </w:rPr>
        <w:t>未经行业主管部门、运营者授权，对基础电信网络实施漏洞探测、渗透性测试等危害基础电信网络安全行为的；</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hint="default" w:ascii="仿宋_GB2312" w:hAnsi="方正仿宋_GBK"/>
          <w:sz w:val="28"/>
          <w:szCs w:val="28"/>
        </w:rPr>
        <w:t>4.</w:t>
      </w:r>
      <w:r>
        <w:rPr>
          <w:rFonts w:ascii="仿宋_GB2312" w:hAnsi="方正仿宋_GBK"/>
          <w:sz w:val="28"/>
          <w:szCs w:val="28"/>
        </w:rPr>
        <w:t>在提供产品和服务时，制作、设置、传播和利用恶意程序，尚未改正的；</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hint="default" w:ascii="仿宋_GB2312" w:hAnsi="方正仿宋_GBK"/>
          <w:sz w:val="28"/>
          <w:szCs w:val="28"/>
        </w:rPr>
        <w:t>5.</w:t>
      </w:r>
      <w:r>
        <w:rPr>
          <w:rFonts w:ascii="仿宋_GB2312" w:hAnsi="方正仿宋_GBK"/>
          <w:sz w:val="28"/>
          <w:szCs w:val="28"/>
        </w:rPr>
        <w:t>在提供产品和服务时，未按约定为其产品、服务持续提供安全维护的；</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hint="default" w:ascii="仿宋_GB2312" w:hAnsi="方正仿宋_GBK"/>
          <w:sz w:val="28"/>
          <w:szCs w:val="28"/>
        </w:rPr>
        <w:t>6.</w:t>
      </w:r>
      <w:r>
        <w:rPr>
          <w:rFonts w:ascii="仿宋_GB2312" w:hAnsi="方正仿宋_GBK"/>
          <w:sz w:val="28"/>
          <w:szCs w:val="28"/>
        </w:rPr>
        <w:t>落实网络安全责任不到位，导致网络产品和服务使用者的信息被泄露、造成重大网络安全事件、带来重大网络安全威胁的；</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hint="default" w:ascii="仿宋_GB2312" w:hAnsi="方正仿宋_GBK"/>
          <w:sz w:val="28"/>
          <w:szCs w:val="28"/>
        </w:rPr>
        <w:t>7.</w:t>
      </w:r>
      <w:r>
        <w:rPr>
          <w:rFonts w:ascii="仿宋_GB2312" w:hAnsi="方正仿宋_GBK"/>
          <w:sz w:val="28"/>
          <w:szCs w:val="28"/>
        </w:rPr>
        <w:t>其他危害电信和互联网行业网络安全的。</w:t>
      </w:r>
    </w:p>
    <w:p>
      <w:pPr>
        <w:pStyle w:val="3"/>
        <w:tabs>
          <w:tab w:val="left" w:pos="1580"/>
          <w:tab w:val="left" w:pos="1619"/>
        </w:tabs>
        <w:adjustRightInd w:val="false"/>
        <w:snapToGrid w:val="false"/>
        <w:spacing w:line="360" w:lineRule="auto"/>
        <w:ind w:firstLine="0" w:firstLineChars="0"/>
        <w:jc w:val="left"/>
        <w:textAlignment w:val="baseline"/>
        <w:rPr>
          <w:rFonts w:hint="default" w:ascii="仿宋_GB2312" w:hAnsi="方正仿宋_GBK"/>
          <w:b/>
          <w:bCs/>
          <w:sz w:val="28"/>
          <w:szCs w:val="28"/>
        </w:rPr>
      </w:pPr>
      <w:r>
        <w:rPr>
          <w:rFonts w:ascii="仿宋_GB2312" w:hAnsi="方正仿宋_GBK"/>
          <w:b/>
          <w:bCs/>
          <w:sz w:val="28"/>
          <w:szCs w:val="28"/>
        </w:rPr>
        <w:t>二、网络安全风险警示名单的责任追究措施</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ascii="仿宋_GB2312" w:hAnsi="方正仿宋_GBK"/>
          <w:sz w:val="28"/>
          <w:szCs w:val="28"/>
        </w:rPr>
        <w:t>对于列入风险警示名单的供应商，通企协会可按照相关规则取消其通信网络安全服务能力评定证书，或者限制其申请网络安全服务能力评定等，同时可建议电信主管部门对相关供应商实施重点监督。</w:t>
      </w:r>
    </w:p>
    <w:p>
      <w:pPr>
        <w:pStyle w:val="3"/>
        <w:tabs>
          <w:tab w:val="left" w:pos="1580"/>
          <w:tab w:val="left" w:pos="1619"/>
        </w:tabs>
        <w:adjustRightInd w:val="false"/>
        <w:snapToGrid w:val="false"/>
        <w:spacing w:line="360" w:lineRule="auto"/>
        <w:ind w:firstLine="560"/>
        <w:jc w:val="left"/>
        <w:textAlignment w:val="baseline"/>
        <w:rPr>
          <w:rFonts w:hint="default" w:ascii="仿宋_GB2312" w:hAnsi="方正仿宋_GBK"/>
          <w:sz w:val="28"/>
          <w:szCs w:val="28"/>
        </w:rPr>
      </w:pPr>
      <w:r>
        <w:rPr>
          <w:rFonts w:ascii="仿宋_GB2312" w:hAnsi="方正仿宋_GBK"/>
          <w:sz w:val="28"/>
          <w:szCs w:val="28"/>
        </w:rPr>
        <w:t>对于列入风险警示名单的供应商，按照通企协会给成员单位提出的处理措施建议，结合产品是否充分竞争属性，中国移动将采取相应限制措施，包括但不限于禁止合作、终止合同、停服排查、暂停部分或者全部采购、扣减后续采购综合评审得分或后评估得分、扣减分配份额、取消联合共建项目资格、预警、约谈等追究措施。</w:t>
      </w:r>
    </w:p>
    <w:p>
      <w:pPr>
        <w:pStyle w:val="3"/>
        <w:tabs>
          <w:tab w:val="left" w:pos="1580"/>
          <w:tab w:val="left" w:pos="1619"/>
        </w:tabs>
        <w:adjustRightInd w:val="false"/>
        <w:snapToGrid w:val="false"/>
        <w:spacing w:line="360" w:lineRule="auto"/>
        <w:ind w:firstLine="0" w:firstLineChars="0"/>
        <w:jc w:val="left"/>
        <w:textAlignment w:val="baseline"/>
        <w:rPr>
          <w:rFonts w:hint="default" w:ascii="仿宋_GB2312" w:hAnsi="方正仿宋_GBK"/>
          <w:b/>
          <w:bCs/>
          <w:sz w:val="28"/>
          <w:szCs w:val="28"/>
        </w:rPr>
      </w:pPr>
      <w:r>
        <w:rPr>
          <w:rFonts w:ascii="仿宋_GB2312" w:hAnsi="方正仿宋_GBK"/>
          <w:b/>
          <w:bCs/>
          <w:sz w:val="28"/>
          <w:szCs w:val="28"/>
        </w:rPr>
        <w:t>三、其他</w:t>
      </w:r>
    </w:p>
    <w:p>
      <w:pPr>
        <w:pStyle w:val="3"/>
        <w:tabs>
          <w:tab w:val="left" w:pos="1620"/>
        </w:tabs>
        <w:adjustRightInd w:val="false"/>
        <w:snapToGrid w:val="false"/>
        <w:spacing w:line="360" w:lineRule="auto"/>
        <w:ind w:firstLine="600"/>
        <w:jc w:val="left"/>
        <w:textAlignment w:val="baseline"/>
        <w:rPr>
          <w:rFonts w:hint="default" w:ascii="仿宋_GB2312" w:hAnsi="方正仿宋_GBK"/>
          <w:sz w:val="30"/>
          <w:szCs w:val="30"/>
        </w:rPr>
      </w:pPr>
      <w:r>
        <w:rPr>
          <w:rFonts w:ascii="仿宋_GB2312" w:hAnsi="方正仿宋_GBK"/>
          <w:sz w:val="30"/>
          <w:szCs w:val="30"/>
        </w:rPr>
        <w:t>在网络安全风险警示名单过程中，供应商可就其中存在的不实、不合规等情况按照既定方式进行申诉。</w:t>
      </w:r>
    </w:p>
    <w:p/>
    <w:sectPr>
      <w:headerReference w:type="default" r:id="rId6"/>
      <w:headerReference w:type="even" r:id="rId6"/>
      <w:headerReference w:type="first" r:id="rId6"/>
      <w:pgSz w:w="11906" w:h="16838"/>
      <w:pgMar w:top="1440" w:right="1916" w:bottom="1497"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 w:name="Calibri Light">
    <w:panose1 w:val="020F0302020204030204"/>
    <w:charset w:val="00"/>
    <w:family w:val="swiss"/>
    <w:pitch w:val="default"/>
    <w:sig w:usb0="E4002EFF" w:usb1="C000247B" w:usb2="00000009" w:usb3="00000000" w:csb0="200001FF" w:csb1="00000000"/>
  </w:font>
</w:fonts>
</file>

<file path=word/header.xml><?xml version="1.0" encoding="utf-8"?>
<w:hdr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p>
    <w:r>
      <w:pi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position:absolute;margin-left:0;margin-top:0;width:467.95pt;height:615.75pt;z-index:-251657216;mso-position-horizontal:center;mso-position-horizontal-relative:margin;mso-position-vertical:center;mso-position-vertical-relative:margin" id="WordPictureWatermark835936646" o:spid="_x0000_s2050" o:allowincell="f">
          <v:imagedata o:title="docx4j-logo" r:id="rId1"/>
        </v:shape>
      </w:pict>
    </w:r>
    <w:r>
      <w:drawing>
        <wp:anchor distT="0" distB="0" distL="0" distR="0" simplePos="false" relativeHeight="0" behindDoc="false" locked="false" layoutInCell="true" allowOverlap="true">
          <wp:simplePos x="0" y="0"/>
          <wp:positionH relativeFrom="column">
            <wp:align>center</wp:align>
          </wp:positionH>
          <wp:positionV relativeFrom="topMargin">
            <wp:align>center</wp:align>
          </wp:positionV>
          <wp:extent cx="1905000" cy="142875"/>
          <wp:effectExtent l="0" t="0" r="0" b="0"/>
          <wp:wrapNone/>
          <wp:docPr id="9833" name="" descr=""/>
          <wp:cNvGraphicFramePr>
            <a:graphicFrameLocks noChangeAspect="true"/>
          </wp:cNvGraphicFramePr>
          <a:graphic>
            <a:graphicData uri="http://schemas.openxmlformats.org/drawingml/2006/picture">
              <pic:pic>
                <pic:nvPicPr>
                  <pic:cNvPr id="19666" name=""/>
                  <pic:cNvPicPr/>
                </pic:nvPicPr>
                <pic:blipFill>
                  <a:blip r:embed="rId2"/>
                  <a:stretch>
                    <a:fillRect/>
                  </a:stretch>
                </pic:blipFill>
                <pic:spPr>
                  <a:xfrm>
                    <a:off x="0" y="0"/>
                    <a:ext cx="1905000" cy="142875"/>
                  </a:xfrm>
                  <a:prstGeom prst="rect">
                    <a:avLst/>
                  </a:prstGeom>
                </pic:spPr>
              </pic:pic>
            </a:graphicData>
          </a:graphic>
        </wp:anchor>
      </w:drawing>
    </w:r>
    <w:r>
      <w:drawing>
        <wp:anchor distT="0" distB="0" distL="0" distR="0" simplePos="false" relativeHeight="0" behindDoc="false" locked="false" layoutInCell="true" allowOverlap="true">
          <wp:simplePos x="0" y="0"/>
          <wp:positionH relativeFrom="column">
            <wp:align>center</wp:align>
          </wp:positionH>
          <wp:positionV relativeFrom="topMargin">
            <wp:align>center</wp:align>
          </wp:positionV>
          <wp:extent cx="1905000" cy="142875"/>
          <wp:effectExtent l="0" t="0" r="0" b="0"/>
          <wp:wrapNone/>
          <wp:docPr id="3748" name="" descr=""/>
          <wp:cNvGraphicFramePr>
            <a:graphicFrameLocks noChangeAspect="true"/>
          </wp:cNvGraphicFramePr>
          <a:graphic>
            <a:graphicData uri="http://schemas.openxmlformats.org/drawingml/2006/picture">
              <pic:pic>
                <pic:nvPicPr>
                  <pic:cNvPr id="7496" name=""/>
                  <pic:cNvPicPr/>
                </pic:nvPicPr>
                <pic:blipFill>
                  <a:blip r:embed="rId3"/>
                  <a:stretch>
                    <a:fillRect/>
                  </a:stretch>
                </pic:blipFill>
                <pic:spPr>
                  <a:xfrm>
                    <a:off x="0" y="0"/>
                    <a:ext cx="1905000" cy="142875"/>
                  </a:xfrm>
                  <a:prstGeom prst="rect">
                    <a:avLst/>
                  </a:prstGeom>
                </pic:spPr>
              </pic:pic>
            </a:graphicData>
          </a:graphic>
        </wp:anchor>
      </w:drawing>
    </w:r>
    <w:r>
      <w:drawing>
        <wp:anchor distT="0" distB="0" distL="0" distR="0" simplePos="false" relativeHeight="0" behindDoc="false" locked="false" layoutInCell="true" allowOverlap="true">
          <wp:simplePos x="0" y="0"/>
          <wp:positionH relativeFrom="column">
            <wp:align>center</wp:align>
          </wp:positionH>
          <wp:positionV relativeFrom="topMargin">
            <wp:align>center</wp:align>
          </wp:positionV>
          <wp:extent cx="1905000" cy="142875"/>
          <wp:effectExtent l="0" t="0" r="0" b="0"/>
          <wp:wrapNone/>
          <wp:docPr id="1573" name="" descr=""/>
          <wp:cNvGraphicFramePr>
            <a:graphicFrameLocks noChangeAspect="true"/>
          </wp:cNvGraphicFramePr>
          <a:graphic>
            <a:graphicData uri="http://schemas.openxmlformats.org/drawingml/2006/picture">
              <pic:pic>
                <pic:nvPicPr>
                  <pic:cNvPr id="3146" name=""/>
                  <pic:cNvPicPr/>
                </pic:nvPicPr>
                <pic:blipFill>
                  <a:blip r:embed="rId4"/>
                  <a:stretch>
                    <a:fillRect/>
                  </a:stretch>
                </pic:blipFill>
                <pic:spPr>
                  <a:xfrm>
                    <a:off x="0" y="0"/>
                    <a:ext cx="1905000" cy="142875"/>
                  </a:xfrm>
                  <a:prstGeom prst="rect">
                    <a:avLst/>
                  </a:prstGeom>
                </pic:spPr>
              </pic:pic>
            </a:graphicData>
          </a:graphic>
        </wp:anchor>
      </w:drawing>
    </w:r>
    <w:r>
      <w:drawing>
        <wp:anchor distT="0" distB="0" distL="0" distR="0" simplePos="false" relativeHeight="0" behindDoc="false" locked="false" layoutInCell="true" allowOverlap="true">
          <wp:simplePos x="0" y="0"/>
          <wp:positionH relativeFrom="column">
            <wp:align>right</wp:align>
          </wp:positionH>
          <wp:positionV relativeFrom="topMargin">
            <wp:align>center</wp:align>
          </wp:positionV>
          <wp:extent cx="508000" cy="508000"/>
          <wp:effectExtent l="0" t="0" r="0" b="0"/>
          <wp:wrapNone/>
          <wp:docPr id="7992" name="" descr=""/>
          <wp:cNvGraphicFramePr>
            <a:graphicFrameLocks noChangeAspect="true"/>
          </wp:cNvGraphicFramePr>
          <a:graphic>
            <a:graphicData uri="http://schemas.openxmlformats.org/drawingml/2006/picture">
              <pic:pic>
                <pic:nvPicPr>
                  <pic:cNvPr id="15984" name=""/>
                  <pic:cNvPicPr/>
                </pic:nvPicPr>
                <pic:blipFill>
                  <a:blip r:embed="rId5"/>
                  <a:stretch>
                    <a:fillRect/>
                  </a:stretch>
                </pic:blipFill>
                <pic:spPr>
                  <a:xfrm>
                    <a:off x="0" y="0"/>
                    <a:ext cx="508000" cy="508000"/>
                  </a:xfrm>
                  <a:prstGeom prst="rect">
                    <a:avLst/>
                  </a:prstGeom>
                </pic:spPr>
              </pic:pic>
            </a:graphicData>
          </a:graphic>
        </wp:anchor>
      </w:drawing>
    </w:r>
    <w:r>
      <w:drawing>
        <wp:anchor distT="0" distB="0" distL="0" distR="0" simplePos="false" relativeHeight="0" behindDoc="false" locked="false" layoutInCell="true" allowOverlap="true">
          <wp:simplePos x="0" y="0"/>
          <wp:positionH relativeFrom="column">
            <wp:align>right</wp:align>
          </wp:positionH>
          <wp:positionV relativeFrom="topMargin">
            <wp:align>center</wp:align>
          </wp:positionV>
          <wp:extent cx="508000" cy="508000"/>
          <wp:effectExtent l="0" t="0" r="0" b="0"/>
          <wp:wrapNone/>
          <wp:docPr id="6230" name="" descr=""/>
          <wp:cNvGraphicFramePr>
            <a:graphicFrameLocks noChangeAspect="true"/>
          </wp:cNvGraphicFramePr>
          <a:graphic>
            <a:graphicData uri="http://schemas.openxmlformats.org/drawingml/2006/picture">
              <pic:pic>
                <pic:nvPicPr>
                  <pic:cNvPr id="12460" name=""/>
                  <pic:cNvPicPr/>
                </pic:nvPicPr>
                <pic:blipFill>
                  <a:blip r:embed="rId6"/>
                  <a:stretch>
                    <a:fillRect/>
                  </a:stretch>
                </pic:blipFill>
                <pic:spPr>
                  <a:xfrm>
                    <a:off x="0" y="0"/>
                    <a:ext cx="508000" cy="508000"/>
                  </a:xfrm>
                  <a:prstGeom prst="rect">
                    <a:avLst/>
                  </a:prstGeom>
                </pic:spPr>
              </pic:pic>
            </a:graphicData>
          </a:graphic>
        </wp:anchor>
      </w:drawing>
    </w:r>
    <w:r>
      <w:drawing>
        <wp:anchor distT="0" distB="0" distL="0" distR="0" simplePos="false" relativeHeight="0" behindDoc="false" locked="false" layoutInCell="true" allowOverlap="true">
          <wp:simplePos x="0" y="0"/>
          <wp:positionH relativeFrom="column">
            <wp:align>right</wp:align>
          </wp:positionH>
          <wp:positionV relativeFrom="topMargin">
            <wp:align>center</wp:align>
          </wp:positionV>
          <wp:extent cx="508000" cy="508000"/>
          <wp:effectExtent l="0" t="0" r="0" b="0"/>
          <wp:wrapNone/>
          <wp:docPr id="5907" name="" descr=""/>
          <wp:cNvGraphicFramePr>
            <a:graphicFrameLocks noChangeAspect="true"/>
          </wp:cNvGraphicFramePr>
          <a:graphic>
            <a:graphicData uri="http://schemas.openxmlformats.org/drawingml/2006/picture">
              <pic:pic>
                <pic:nvPicPr>
                  <pic:cNvPr id="11814" name=""/>
                  <pic:cNvPicPr/>
                </pic:nvPicPr>
                <pic:blipFill>
                  <a:blip r:embed="rId7"/>
                  <a:stretch>
                    <a:fillRect/>
                  </a:stretch>
                </pic:blipFill>
                <pic:spPr>
                  <a:xfrm>
                    <a:off x="0" y="0"/>
                    <a:ext cx="508000" cy="508000"/>
                  </a:xfrm>
                  <a:prstGeom prst="rect">
                    <a:avLst/>
                  </a:prstGeom>
                </pic:spPr>
              </pic:pic>
            </a:graphicData>
          </a:graphic>
        </wp:anchor>
      </w:drawing>
    </w:r>
  </w:p>
</w:hdr>
</file>

<file path=word/settings.xml><?xml version="1.0" encoding="utf-8"?>
<w:setting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mc:Ignorable="">
  <w:zoom w:percent="110"/>
  <w:doNotDisplayPageBoundaries w:val="true"/>
  <w:bordersDoNotSurroundHeader w:val="true"/>
  <w:bordersDoNotSurroundFooter w:val="true"/>
  <w:documentProtection w:edit="forms" w:enforcement="true" w:cryptProviderType="rsaAES" w:cryptAlgorithmClass="hash" w:cryptAlgorithmType="typeAny" w:cryptAlgorithmSid="14" w:cryptSpinCount="100000" w:hash="vDXedUDOVLl8LKgVrMUHE9OaTQbwGRh8wUW9AmV5630v0F17BOSHj9lbZ5d2g/BeX1Tw6OoMMmgq7QqBjTbIVg==" w:salt="Gpd7xiUyccki4RyyZP9rzw=="/>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95D"/>
    <w:rsid w:val="000032A7"/>
    <w:rsid w:val="000129CA"/>
    <w:rsid w:val="00017BF9"/>
    <w:rsid w:val="00021840"/>
    <w:rsid w:val="000220DB"/>
    <w:rsid w:val="0003624E"/>
    <w:rsid w:val="00046AA6"/>
    <w:rsid w:val="00046E40"/>
    <w:rsid w:val="00064263"/>
    <w:rsid w:val="000953DC"/>
    <w:rsid w:val="000A1B0E"/>
    <w:rsid w:val="000B5DE8"/>
    <w:rsid w:val="000C1D01"/>
    <w:rsid w:val="00106C66"/>
    <w:rsid w:val="00124526"/>
    <w:rsid w:val="0013112D"/>
    <w:rsid w:val="00132D96"/>
    <w:rsid w:val="001433CC"/>
    <w:rsid w:val="00146576"/>
    <w:rsid w:val="00165231"/>
    <w:rsid w:val="00181AC8"/>
    <w:rsid w:val="001A0A2F"/>
    <w:rsid w:val="001A320D"/>
    <w:rsid w:val="001C4E09"/>
    <w:rsid w:val="001E2335"/>
    <w:rsid w:val="001E23EE"/>
    <w:rsid w:val="001E6C9F"/>
    <w:rsid w:val="001F3787"/>
    <w:rsid w:val="0021290C"/>
    <w:rsid w:val="002454BB"/>
    <w:rsid w:val="002716D2"/>
    <w:rsid w:val="00280FF2"/>
    <w:rsid w:val="002A0964"/>
    <w:rsid w:val="002B6B89"/>
    <w:rsid w:val="002D4847"/>
    <w:rsid w:val="002F40D5"/>
    <w:rsid w:val="0031019A"/>
    <w:rsid w:val="00315CB2"/>
    <w:rsid w:val="00336AE1"/>
    <w:rsid w:val="0037091B"/>
    <w:rsid w:val="00386ED2"/>
    <w:rsid w:val="00390267"/>
    <w:rsid w:val="0039771C"/>
    <w:rsid w:val="003D3E1D"/>
    <w:rsid w:val="003D7AD8"/>
    <w:rsid w:val="003F11BB"/>
    <w:rsid w:val="003F4D6C"/>
    <w:rsid w:val="00401786"/>
    <w:rsid w:val="00402FFF"/>
    <w:rsid w:val="0040692E"/>
    <w:rsid w:val="00432FAA"/>
    <w:rsid w:val="00453552"/>
    <w:rsid w:val="0045750F"/>
    <w:rsid w:val="004B077A"/>
    <w:rsid w:val="004D085A"/>
    <w:rsid w:val="004D5247"/>
    <w:rsid w:val="004E1072"/>
    <w:rsid w:val="004E518A"/>
    <w:rsid w:val="004F268E"/>
    <w:rsid w:val="005000ED"/>
    <w:rsid w:val="00507D98"/>
    <w:rsid w:val="0051226E"/>
    <w:rsid w:val="0051790E"/>
    <w:rsid w:val="00530637"/>
    <w:rsid w:val="00533CC7"/>
    <w:rsid w:val="00551BFF"/>
    <w:rsid w:val="005605A2"/>
    <w:rsid w:val="00566FB1"/>
    <w:rsid w:val="00570847"/>
    <w:rsid w:val="00583D45"/>
    <w:rsid w:val="00596F35"/>
    <w:rsid w:val="005A50AE"/>
    <w:rsid w:val="005C0A5F"/>
    <w:rsid w:val="005D2041"/>
    <w:rsid w:val="005E4054"/>
    <w:rsid w:val="00604FAD"/>
    <w:rsid w:val="006177FA"/>
    <w:rsid w:val="00651E1F"/>
    <w:rsid w:val="00653E41"/>
    <w:rsid w:val="006573EB"/>
    <w:rsid w:val="006935E7"/>
    <w:rsid w:val="006F0E33"/>
    <w:rsid w:val="006F7401"/>
    <w:rsid w:val="00705072"/>
    <w:rsid w:val="007138C6"/>
    <w:rsid w:val="00717394"/>
    <w:rsid w:val="007221DC"/>
    <w:rsid w:val="0073544E"/>
    <w:rsid w:val="0077587E"/>
    <w:rsid w:val="007920F1"/>
    <w:rsid w:val="007C398F"/>
    <w:rsid w:val="007D30B4"/>
    <w:rsid w:val="00811CA8"/>
    <w:rsid w:val="008124BB"/>
    <w:rsid w:val="008276FD"/>
    <w:rsid w:val="00845194"/>
    <w:rsid w:val="00866F7C"/>
    <w:rsid w:val="00867FB2"/>
    <w:rsid w:val="008A23C6"/>
    <w:rsid w:val="008A47E8"/>
    <w:rsid w:val="008B4CB9"/>
    <w:rsid w:val="008B7860"/>
    <w:rsid w:val="008C5587"/>
    <w:rsid w:val="008D0A20"/>
    <w:rsid w:val="008E28C1"/>
    <w:rsid w:val="008E295D"/>
    <w:rsid w:val="008F0574"/>
    <w:rsid w:val="008F7B6A"/>
    <w:rsid w:val="009000A1"/>
    <w:rsid w:val="0092158D"/>
    <w:rsid w:val="00953F88"/>
    <w:rsid w:val="0095438A"/>
    <w:rsid w:val="00956A95"/>
    <w:rsid w:val="00987EFE"/>
    <w:rsid w:val="009905F9"/>
    <w:rsid w:val="0099066C"/>
    <w:rsid w:val="009B4AD6"/>
    <w:rsid w:val="009C685B"/>
    <w:rsid w:val="009D16D4"/>
    <w:rsid w:val="009E0F99"/>
    <w:rsid w:val="009F0819"/>
    <w:rsid w:val="009F4DBF"/>
    <w:rsid w:val="00A01A9E"/>
    <w:rsid w:val="00A17E99"/>
    <w:rsid w:val="00A366D7"/>
    <w:rsid w:val="00A56BF4"/>
    <w:rsid w:val="00A64C59"/>
    <w:rsid w:val="00A84272"/>
    <w:rsid w:val="00A91228"/>
    <w:rsid w:val="00A94D8D"/>
    <w:rsid w:val="00AB2584"/>
    <w:rsid w:val="00AC6D01"/>
    <w:rsid w:val="00AD6499"/>
    <w:rsid w:val="00B37C0A"/>
    <w:rsid w:val="00B4097D"/>
    <w:rsid w:val="00B82B30"/>
    <w:rsid w:val="00B90406"/>
    <w:rsid w:val="00B97203"/>
    <w:rsid w:val="00BA1D89"/>
    <w:rsid w:val="00BB359D"/>
    <w:rsid w:val="00BB7D21"/>
    <w:rsid w:val="00BC7C1B"/>
    <w:rsid w:val="00BD198A"/>
    <w:rsid w:val="00BE4D55"/>
    <w:rsid w:val="00BF097F"/>
    <w:rsid w:val="00C21E5A"/>
    <w:rsid w:val="00C3105D"/>
    <w:rsid w:val="00C97D1D"/>
    <w:rsid w:val="00CA1444"/>
    <w:rsid w:val="00CA79D5"/>
    <w:rsid w:val="00CB538F"/>
    <w:rsid w:val="00CC5624"/>
    <w:rsid w:val="00CD55B3"/>
    <w:rsid w:val="00CD7D95"/>
    <w:rsid w:val="00CE4143"/>
    <w:rsid w:val="00D1333F"/>
    <w:rsid w:val="00D25A67"/>
    <w:rsid w:val="00D6587C"/>
    <w:rsid w:val="00D67836"/>
    <w:rsid w:val="00D7551F"/>
    <w:rsid w:val="00D81BC1"/>
    <w:rsid w:val="00DA5490"/>
    <w:rsid w:val="00DC5D71"/>
    <w:rsid w:val="00DF08B4"/>
    <w:rsid w:val="00E0448D"/>
    <w:rsid w:val="00E10967"/>
    <w:rsid w:val="00E13A41"/>
    <w:rsid w:val="00E66C99"/>
    <w:rsid w:val="00E67E95"/>
    <w:rsid w:val="00E76915"/>
    <w:rsid w:val="00EA19B2"/>
    <w:rsid w:val="00EE4F4B"/>
    <w:rsid w:val="00F33E80"/>
    <w:rsid w:val="00F34D12"/>
    <w:rsid w:val="00F51348"/>
    <w:rsid w:val="00F51A18"/>
    <w:rsid w:val="00F51FA0"/>
    <w:rsid w:val="00F53EA7"/>
    <w:rsid w:val="00F61818"/>
    <w:rsid w:val="00F75752"/>
    <w:rsid w:val="00FC2FC9"/>
    <w:rsid w:val="00FD1093"/>
    <w:rsid w:val="00FD23A3"/>
    <w:rsid w:val="00FF0D9C"/>
    <w:rsid w:val="14956481"/>
    <w:rsid w:val="1D27321D"/>
    <w:rsid w:val="1F845856"/>
    <w:rsid w:val="22061040"/>
    <w:rsid w:val="2BAE6E9C"/>
    <w:rsid w:val="2F477758"/>
    <w:rsid w:val="49744846"/>
    <w:rsid w:val="4B3A690A"/>
    <w:rsid w:val="4CB742F0"/>
    <w:rsid w:val="5172022A"/>
    <w:rsid w:val="5DB16734"/>
    <w:rsid w:val="615049AC"/>
    <w:rsid w:val="6B82265F"/>
    <w:rsid w:val="6CAF31F4"/>
    <w:rsid w:val="75983F95"/>
    <w:rsid w:val="777E5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3"/>
    <w:next w:val="1"/>
    <w:link w:val="12"/>
    <w:qFormat/>
    <w:uiPriority w:val="9"/>
    <w:pPr>
      <w:tabs>
        <w:tab w:val="left" w:pos="1800"/>
      </w:tabs>
      <w:spacing w:line="580" w:lineRule="exact"/>
      <w:ind w:firstLine="643"/>
      <w:textAlignment w:val="baseline"/>
      <w:outlineLvl w:val="0"/>
    </w:pPr>
    <w:rPr>
      <w:rFonts w:hint="default" w:ascii="仿宋_GB2312" w:hAnsi="方正仿宋_GBK"/>
      <w:b/>
      <w:szCs w:val="30"/>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customStyle="1" w:styleId="3">
    <w:name w:val="列出段落1"/>
    <w:basedOn w:val="1"/>
    <w:qFormat/>
    <w:uiPriority w:val="0"/>
    <w:pPr>
      <w:spacing w:line="240" w:lineRule="atLeast"/>
      <w:ind w:firstLine="420" w:firstLineChars="200"/>
    </w:pPr>
    <w:rPr>
      <w:rFonts w:hint="eastAsia" w:ascii="Times New Roman" w:hAnsi="Times New Roman" w:eastAsia="仿宋_GB2312" w:cs="Times New Roman"/>
      <w:sz w:val="32"/>
      <w:szCs w:val="20"/>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Title"/>
    <w:basedOn w:val="1"/>
    <w:next w:val="1"/>
    <w:link w:val="11"/>
    <w:qFormat/>
    <w:uiPriority w:val="10"/>
    <w:pPr>
      <w:spacing w:before="240" w:after="60"/>
      <w:jc w:val="center"/>
      <w:outlineLvl w:val="0"/>
    </w:pPr>
    <w:rPr>
      <w:rFonts w:eastAsia="宋体" w:asciiTheme="majorHAnsi" w:hAnsiTheme="majorHAnsi" w:cstheme="majorBidi"/>
      <w:b/>
      <w:bCs/>
      <w:sz w:val="32"/>
      <w:szCs w:val="32"/>
    </w:rPr>
  </w:style>
  <w:style w:type="character" w:customStyle="1" w:styleId="9">
    <w:name w:val="页眉 Char"/>
    <w:basedOn w:val="8"/>
    <w:link w:val="5"/>
    <w:qFormat/>
    <w:uiPriority w:val="99"/>
    <w:rPr>
      <w:sz w:val="18"/>
      <w:szCs w:val="18"/>
    </w:rPr>
  </w:style>
  <w:style w:type="character" w:customStyle="1" w:styleId="10">
    <w:name w:val="页脚 Char"/>
    <w:basedOn w:val="8"/>
    <w:link w:val="4"/>
    <w:qFormat/>
    <w:uiPriority w:val="99"/>
    <w:rPr>
      <w:sz w:val="18"/>
      <w:szCs w:val="18"/>
    </w:rPr>
  </w:style>
  <w:style w:type="character" w:customStyle="1" w:styleId="11">
    <w:name w:val="标题 Char"/>
    <w:basedOn w:val="8"/>
    <w:link w:val="6"/>
    <w:qFormat/>
    <w:uiPriority w:val="10"/>
    <w:rPr>
      <w:rFonts w:eastAsia="宋体" w:asciiTheme="majorHAnsi" w:hAnsiTheme="majorHAnsi" w:cstheme="majorBidi"/>
      <w:b/>
      <w:bCs/>
      <w:sz w:val="32"/>
      <w:szCs w:val="32"/>
    </w:rPr>
  </w:style>
  <w:style w:type="character" w:customStyle="1" w:styleId="12">
    <w:name w:val="标题 1 Char"/>
    <w:basedOn w:val="8"/>
    <w:link w:val="2"/>
    <w:qFormat/>
    <w:uiPriority w:val="9"/>
    <w:rPr>
      <w:rFonts w:ascii="仿宋_GB2312" w:hAnsi="方正仿宋_GBK" w:eastAsia="仿宋_GB2312" w:cs="Times New Roman"/>
      <w:b/>
      <w:sz w:val="32"/>
      <w:szCs w:val="30"/>
    </w:rPr>
  </w:style>
  <w:style w:type="paragraph" w:customStyle="1" w:styleId="13">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
    <Relationship Target="fontTable.xml" Type="http://schemas.openxmlformats.org/officeDocument/2006/relationships/fontTable" Id="rId5"/>
    <Relationship Target="../customXml/item1.xml" Type="http://schemas.openxmlformats.org/officeDocument/2006/relationships/customXml" Id="rId4"/>
    <Relationship Target="theme/theme1.xml" Type="http://schemas.openxmlformats.org/officeDocument/2006/relationships/theme" Id="rId3"/>
    <Relationship Target="settings.xml" Type="http://schemas.openxmlformats.org/officeDocument/2006/relationships/settings" Id="rId2"/>
    <Relationship Target="styles.xml" Type="http://schemas.openxmlformats.org/officeDocument/2006/relationships/styles" Id="rId1"/>
    <Relationship Target="header.xml" Type="http://schemas.openxmlformats.org/officeDocument/2006/relationships/header" Id="rId6"/>
</Relationships>

</file>

<file path=word/_rels/header.xml.rels><?xml version="1.0" encoding="UTF-8" standalone="yes"?>
<Relationships xmlns="http://schemas.openxmlformats.org/package/2006/relationships">
    <Relationship Target="../media/background.png" Type="http://schemas.openxmlformats.org/officeDocument/2006/relationships/image" Id="rId1"/>
    <Relationship Target="media/header_image_rId2.png" Type="http://schemas.openxmlformats.org/officeDocument/2006/relationships/image" Id="rId2"/>
    <Relationship Target="media/header_image_rId3.png" Type="http://schemas.openxmlformats.org/officeDocument/2006/relationships/image" Id="rId3"/>
    <Relationship Target="media/header_image_rId4.png" Type="http://schemas.openxmlformats.org/officeDocument/2006/relationships/image" Id="rId4"/>
    <Relationship Target="media/header_image_rId5.jpeg" Type="http://schemas.openxmlformats.org/officeDocument/2006/relationships/image" Id="rId5"/>
    <Relationship Target="media/header_image_rId6.jpeg" Type="http://schemas.openxmlformats.org/officeDocument/2006/relationships/image" Id="rId6"/>
    <Relationship Target="media/header_image_rId7.jpeg" Type="http://schemas.openxmlformats.org/officeDocument/2006/relationships/image" Id="rId7"/>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Properties xmlns:vt="http://schemas.openxmlformats.org/officeDocument/2006/docPropsVTypes" xmlns:properties="http://schemas.openxmlformats.org/officeDocument/2006/extended-properties">
  <properties:Template>Normal</properties:Template>
  <properties:Company>cmcc</properties:Company>
  <properties:Pages>3</properties:Pages>
  <properties:Words>186</properties:Words>
  <properties:Characters>1062</properties:Characters>
  <properties:Lines>8</properties:Lines>
  <properties:Paragraphs>2</properties:Paragraphs>
  <properties:TotalTime>55</properties:TotalTime>
  <properties:ScaleCrop>false</properties:ScaleCrop>
  <properties:LinksUpToDate>false</properties:LinksUpToDate>
  <properties:CharactersWithSpaces>1246</properties:CharactersWithSpaces>
  <properties:Application>WPS Office_11.8.2.10912_F1E327BC-269C-435d-A152-05C5408002CA</properties:Application>
  <properties:DocSecurity>0</properties:DocSecurity>
</properties:Properties>
</file>

<file path=docProps/core.xml><?xml version="1.0" encoding="utf-8"?>
<cp:coreProperties xmlns:cp="http://schemas.openxmlformats.org/package/2006/metadata/core-properties" xmlns:dcterms="http://purl.org/dc/terms/" xmlns:dc="http://purl.org/dc/elements/1.1/">
  <cp:contentStatus>Final</cp:contentStatus>
  <dcterms:created xmlns:xsi="http://www.w3.org/2001/XMLSchema-instance" xsi:type="dcterms:W3CDTF">2017-07-24T08:03:00Z</dcterms:created>
  <dc:creator>张宪</dc:creator>
  <cp:lastModifiedBy>王家辉</cp:lastModifiedBy>
  <dcterms:modified xmlns:xsi="http://www.w3.org/2001/XMLSchema-instance" xsi:type="dcterms:W3CDTF">2022-07-19T06:04:59Z</dcterms:modified>
  <cp:revision>318</cp:revision>
</cp:coreProperties>
</file>

<file path=docProps/custom.xml><?xml version="1.0" encoding="utf-8"?>
<prop:Properties xmlns:vt="http://schemas.openxmlformats.org/officeDocument/2006/docPropsVTypes" xmlns:prop="http://schemas.openxmlformats.org/officeDocument/2006/custom-properties">
  <prop:property fmtid="{D5CDD505-2E9C-101B-9397-08002B2CF9AE}" pid="2" name="KSOProductBuildVer">
    <vt:lpwstr>2052-11.8.2.10912</vt:lpwstr>
  </prop:property>
  <prop:property fmtid="{D5CDD505-2E9C-101B-9397-08002B2CF9AE}" pid="3" name="ICV">
    <vt:lpwstr>BDC43017178741EB8B5A9533D7475478</vt:lpwstr>
  </prop:property>
  <prop:property fmtid="{D5CDD505-2E9C-101B-9397-08002B2CF9AE}" pid="4" name="_MarkAsFinal">
    <vt:bool>true</vt:bool>
  </prop:property>
</prop:Properties>
</file>