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C6B56AA">
      <w:pPr>
        <w:jc w:val="center"/>
        <w:rPr>
          <w:rFonts w:hint="eastAsia" w:ascii="宋体" w:hAnsi="宋体" w:eastAsia="宋体" w:cs="宋体"/>
          <w:b/>
          <w:bCs/>
          <w:color w:val="auto"/>
          <w:sz w:val="44"/>
          <w:szCs w:val="44"/>
          <w:u w:val="none"/>
          <w:lang w:val="en-US" w:eastAsia="zh-CN"/>
        </w:rPr>
      </w:pPr>
      <w:r>
        <w:rPr>
          <w:rFonts w:hint="eastAsia" w:ascii="宋体" w:hAnsi="宋体" w:eastAsia="宋体" w:cs="宋体"/>
          <w:b/>
          <w:bCs/>
          <w:color w:val="auto"/>
          <w:sz w:val="44"/>
          <w:szCs w:val="44"/>
          <w:u w:val="none"/>
          <w:lang w:val="en-US" w:eastAsia="zh-CN"/>
        </w:rPr>
        <w:t>关于在线营销服务中心2025-2026年智算资源服务</w:t>
      </w:r>
    </w:p>
    <w:p w14:paraId="5A27AD0C">
      <w:pPr>
        <w:jc w:val="center"/>
        <w:rPr>
          <w:rFonts w:hint="eastAsia" w:ascii="宋体" w:hAnsi="宋体" w:eastAsia="宋体" w:cs="宋体"/>
          <w:b/>
          <w:bCs/>
          <w:color w:val="auto"/>
          <w:sz w:val="44"/>
          <w:szCs w:val="44"/>
          <w:u w:val="none"/>
          <w:lang w:val="en-US" w:eastAsia="zh-CN"/>
        </w:rPr>
      </w:pPr>
      <w:r>
        <w:rPr>
          <w:rFonts w:hint="eastAsia" w:ascii="宋体" w:hAnsi="宋体" w:eastAsia="宋体" w:cs="宋体"/>
          <w:b/>
          <w:bCs/>
          <w:color w:val="auto"/>
          <w:sz w:val="44"/>
          <w:szCs w:val="44"/>
          <w:u w:val="none"/>
          <w:lang w:val="en-US" w:eastAsia="zh-CN"/>
        </w:rPr>
        <w:t>采购框架项目报价书</w:t>
      </w:r>
    </w:p>
    <w:p w14:paraId="6C50AF20">
      <w:pPr>
        <w:jc w:val="center"/>
        <w:rPr>
          <w:rFonts w:hint="eastAsia" w:ascii="宋体" w:hAnsi="宋体" w:eastAsia="宋体" w:cs="宋体"/>
          <w:b/>
          <w:bCs/>
          <w:color w:val="auto"/>
          <w:sz w:val="44"/>
          <w:szCs w:val="44"/>
          <w:lang w:val="en-US" w:eastAsia="zh-CN"/>
        </w:rPr>
      </w:pPr>
    </w:p>
    <w:p w14:paraId="56BF2EF2">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p>
    <w:tbl>
      <w:tblPr>
        <w:tblStyle w:val="4"/>
        <w:tblW w:w="13464" w:type="dxa"/>
        <w:tblInd w:w="98" w:type="dxa"/>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1021"/>
        <w:gridCol w:w="2367"/>
        <w:gridCol w:w="2012"/>
        <w:gridCol w:w="1943"/>
        <w:gridCol w:w="1621"/>
        <w:gridCol w:w="1450"/>
        <w:gridCol w:w="1525"/>
        <w:gridCol w:w="1525"/>
      </w:tblGrid>
      <w:tr w14:paraId="147BCE6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600" w:hRule="atLeast"/>
        </w:trPr>
        <w:tc>
          <w:tcPr>
            <w:tcW w:w="1021" w:type="dxa"/>
            <w:tcBorders>
              <w:tl2br w:val="nil"/>
              <w:tr2bl w:val="nil"/>
            </w:tcBorders>
            <w:shd w:val="clear" w:color="auto" w:fill="auto"/>
            <w:vAlign w:val="center"/>
          </w:tcPr>
          <w:p w14:paraId="236DCF4C">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序号</w:t>
            </w:r>
          </w:p>
        </w:tc>
        <w:tc>
          <w:tcPr>
            <w:tcW w:w="2367" w:type="dxa"/>
            <w:tcBorders>
              <w:tl2br w:val="nil"/>
              <w:tr2bl w:val="nil"/>
            </w:tcBorders>
            <w:shd w:val="clear" w:color="auto" w:fill="auto"/>
            <w:vAlign w:val="center"/>
          </w:tcPr>
          <w:p w14:paraId="1C1BC36F">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服务内容</w:t>
            </w:r>
          </w:p>
        </w:tc>
        <w:tc>
          <w:tcPr>
            <w:tcW w:w="2012" w:type="dxa"/>
            <w:tcBorders>
              <w:tl2br w:val="nil"/>
              <w:tr2bl w:val="nil"/>
            </w:tcBorders>
            <w:shd w:val="clear" w:color="auto" w:fill="auto"/>
            <w:vAlign w:val="center"/>
          </w:tcPr>
          <w:p w14:paraId="77545F17">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规格</w:t>
            </w:r>
          </w:p>
        </w:tc>
        <w:tc>
          <w:tcPr>
            <w:tcW w:w="1943" w:type="dxa"/>
            <w:tcBorders>
              <w:tl2br w:val="nil"/>
              <w:tr2bl w:val="nil"/>
            </w:tcBorders>
            <w:shd w:val="clear" w:color="auto" w:fill="auto"/>
            <w:vAlign w:val="center"/>
          </w:tcPr>
          <w:p w14:paraId="0A3D0DD4">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单位</w:t>
            </w:r>
          </w:p>
        </w:tc>
        <w:tc>
          <w:tcPr>
            <w:tcW w:w="1621" w:type="dxa"/>
            <w:tcBorders>
              <w:tl2br w:val="nil"/>
              <w:tr2bl w:val="nil"/>
            </w:tcBorders>
            <w:shd w:val="clear" w:color="auto" w:fill="auto"/>
            <w:vAlign w:val="center"/>
          </w:tcPr>
          <w:p w14:paraId="7CD0CA9C">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不含税采购基准单价</w:t>
            </w:r>
          </w:p>
        </w:tc>
        <w:tc>
          <w:tcPr>
            <w:tcW w:w="1450" w:type="dxa"/>
            <w:tcBorders>
              <w:tl2br w:val="nil"/>
              <w:tr2bl w:val="nil"/>
            </w:tcBorders>
            <w:shd w:val="clear" w:color="auto" w:fill="auto"/>
            <w:vAlign w:val="center"/>
          </w:tcPr>
          <w:p w14:paraId="3CD7C248">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折扣报价（%）</w:t>
            </w:r>
          </w:p>
        </w:tc>
        <w:tc>
          <w:tcPr>
            <w:tcW w:w="1525" w:type="dxa"/>
            <w:tcBorders>
              <w:tl2br w:val="nil"/>
              <w:tr2bl w:val="nil"/>
            </w:tcBorders>
            <w:shd w:val="clear" w:color="auto" w:fill="auto"/>
            <w:vAlign w:val="center"/>
          </w:tcPr>
          <w:p w14:paraId="0CCFF704">
            <w:pPr>
              <w:keepNext w:val="0"/>
              <w:keepLines w:val="0"/>
              <w:widowControl/>
              <w:suppressLineNumbers w:val="0"/>
              <w:jc w:val="center"/>
              <w:textAlignment w:val="center"/>
              <w:rPr>
                <w:rFonts w:hint="eastAsia" w:ascii="仿宋_GB2312" w:hAnsi="仿宋_GB2312" w:eastAsia="仿宋_GB2312" w:cs="仿宋_GB2312"/>
                <w:b/>
                <w:bCs/>
                <w:i w:val="0"/>
                <w:iCs w:val="0"/>
                <w:color w:val="000000"/>
                <w:kern w:val="0"/>
                <w:sz w:val="24"/>
                <w:szCs w:val="24"/>
                <w:u w:val="none"/>
                <w:lang w:val="en-US" w:eastAsia="zh-CN" w:bidi="ar"/>
              </w:rPr>
            </w:pPr>
            <w:r>
              <w:rPr>
                <w:rFonts w:hint="eastAsia" w:ascii="仿宋_GB2312" w:hAnsi="仿宋_GB2312" w:eastAsia="仿宋_GB2312" w:cs="仿宋_GB2312"/>
                <w:b/>
                <w:bCs/>
                <w:i w:val="0"/>
                <w:iCs w:val="0"/>
                <w:color w:val="000000"/>
                <w:kern w:val="0"/>
                <w:sz w:val="24"/>
                <w:szCs w:val="24"/>
                <w:u w:val="none"/>
                <w:lang w:val="en-US" w:eastAsia="zh-CN" w:bidi="ar"/>
              </w:rPr>
              <w:t>折扣率报价（%）（ES系统手工录入价格）</w:t>
            </w:r>
          </w:p>
        </w:tc>
        <w:tc>
          <w:tcPr>
            <w:tcW w:w="1525" w:type="dxa"/>
            <w:tcBorders>
              <w:tl2br w:val="nil"/>
              <w:tr2bl w:val="nil"/>
            </w:tcBorders>
            <w:shd w:val="clear" w:color="auto" w:fill="auto"/>
            <w:vAlign w:val="center"/>
          </w:tcPr>
          <w:p w14:paraId="348329DB">
            <w:pPr>
              <w:keepNext w:val="0"/>
              <w:keepLines w:val="0"/>
              <w:widowControl/>
              <w:suppressLineNumbers w:val="0"/>
              <w:jc w:val="center"/>
              <w:textAlignment w:val="center"/>
              <w:rPr>
                <w:rFonts w:hint="eastAsia" w:ascii="仿宋_GB2312" w:hAnsi="仿宋_GB2312" w:eastAsia="仿宋_GB2312" w:cs="仿宋_GB2312"/>
                <w:b/>
                <w:bCs/>
                <w:i w:val="0"/>
                <w:iCs w:val="0"/>
                <w:color w:val="000000"/>
                <w:sz w:val="24"/>
                <w:szCs w:val="24"/>
                <w:u w:val="none"/>
              </w:rPr>
            </w:pPr>
            <w:r>
              <w:rPr>
                <w:rFonts w:hint="eastAsia" w:ascii="仿宋_GB2312" w:hAnsi="仿宋_GB2312" w:eastAsia="仿宋_GB2312" w:cs="仿宋_GB2312"/>
                <w:b/>
                <w:bCs/>
                <w:i w:val="0"/>
                <w:iCs w:val="0"/>
                <w:color w:val="000000"/>
                <w:kern w:val="0"/>
                <w:sz w:val="24"/>
                <w:szCs w:val="24"/>
                <w:u w:val="none"/>
                <w:lang w:val="en-US" w:eastAsia="zh-CN" w:bidi="ar"/>
              </w:rPr>
              <w:t>税率（%）</w:t>
            </w:r>
          </w:p>
        </w:tc>
      </w:tr>
      <w:tr w14:paraId="729B44C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10" w:hRule="atLeast"/>
        </w:trPr>
        <w:tc>
          <w:tcPr>
            <w:tcW w:w="1021" w:type="dxa"/>
            <w:tcBorders>
              <w:tl2br w:val="nil"/>
              <w:tr2bl w:val="nil"/>
            </w:tcBorders>
            <w:shd w:val="clear" w:color="auto" w:fill="auto"/>
            <w:vAlign w:val="center"/>
          </w:tcPr>
          <w:p w14:paraId="4D9F89CC">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1</w:t>
            </w:r>
          </w:p>
        </w:tc>
        <w:tc>
          <w:tcPr>
            <w:tcW w:w="2367" w:type="dxa"/>
            <w:tcBorders>
              <w:tl2br w:val="nil"/>
              <w:tr2bl w:val="nil"/>
            </w:tcBorders>
            <w:shd w:val="clear" w:color="auto" w:fill="auto"/>
            <w:vAlign w:val="center"/>
          </w:tcPr>
          <w:p w14:paraId="4A001058">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single"/>
              </w:rPr>
            </w:pPr>
            <w:r>
              <w:rPr>
                <w:rFonts w:hint="eastAsia" w:ascii="仿宋_GB2312" w:hAnsi="仿宋_GB2312" w:eastAsia="仿宋_GB2312" w:cs="仿宋_GB2312"/>
                <w:i w:val="0"/>
                <w:iCs w:val="0"/>
                <w:color w:val="000000"/>
                <w:kern w:val="0"/>
                <w:sz w:val="24"/>
                <w:szCs w:val="24"/>
                <w:u w:val="single"/>
                <w:lang w:val="en-US" w:eastAsia="zh-CN" w:bidi="ar"/>
              </w:rPr>
              <w:t>高性能GPU裸金属</w:t>
            </w:r>
          </w:p>
        </w:tc>
        <w:tc>
          <w:tcPr>
            <w:tcW w:w="2012" w:type="dxa"/>
            <w:tcBorders>
              <w:tl2br w:val="nil"/>
              <w:tr2bl w:val="nil"/>
            </w:tcBorders>
            <w:shd w:val="clear" w:color="auto" w:fill="auto"/>
            <w:vAlign w:val="center"/>
          </w:tcPr>
          <w:p w14:paraId="7527F328">
            <w:pPr>
              <w:keepNext w:val="0"/>
              <w:keepLines w:val="0"/>
              <w:widowControl/>
              <w:suppressLineNumbers w:val="0"/>
              <w:jc w:val="center"/>
              <w:textAlignment w:val="center"/>
              <w:rPr>
                <w:rFonts w:hint="eastAsia" w:ascii="仿宋_GB2312" w:hAnsi="仿宋_GB2312" w:eastAsia="仿宋_GB2312" w:cs="仿宋_GB2312"/>
                <w:i w:val="0"/>
                <w:iCs w:val="0"/>
                <w:color w:val="auto"/>
                <w:sz w:val="24"/>
                <w:szCs w:val="24"/>
                <w:u w:val="none"/>
              </w:rPr>
            </w:pPr>
            <w:r>
              <w:rPr>
                <w:rFonts w:hint="eastAsia" w:ascii="仿宋_GB2312" w:hAnsi="仿宋_GB2312" w:eastAsia="仿宋_GB2312" w:cs="仿宋_GB2312"/>
                <w:i w:val="0"/>
                <w:iCs w:val="0"/>
                <w:color w:val="auto"/>
                <w:kern w:val="0"/>
                <w:sz w:val="24"/>
                <w:szCs w:val="24"/>
                <w:u w:val="none"/>
                <w:lang w:val="en-US" w:eastAsia="zh-CN" w:bidi="ar"/>
              </w:rPr>
              <w:fldChar w:fldCharType="begin"/>
            </w:r>
            <w:r>
              <w:rPr>
                <w:rFonts w:hint="eastAsia" w:ascii="仿宋_GB2312" w:hAnsi="仿宋_GB2312" w:eastAsia="仿宋_GB2312" w:cs="仿宋_GB2312"/>
                <w:i w:val="0"/>
                <w:iCs w:val="0"/>
                <w:color w:val="auto"/>
                <w:kern w:val="0"/>
                <w:sz w:val="24"/>
                <w:szCs w:val="24"/>
                <w:u w:val="none"/>
                <w:lang w:val="en-US" w:eastAsia="zh-CN" w:bidi="ar"/>
              </w:rPr>
              <w:instrText xml:space="preserve"> HYPERLINK "https://www.baidu.com/s?rsv_dl=re_dqa_generate&amp;sa=re_dqa_generate&amp;wd=TFLOPS&amp;rsv_pq=a91cb6fd011a8c03&amp;oq=Tflops&amp;rsv_t=f8c9bUD9wAakNrwr/VSNKdpCXcZwipIf1eByN/bcQOc1fnHXM/qFbceiVIKT5L/R/A9tIw&amp;tn=68018901_3_dg&amp;ie=utf-8" \o "https://www.baidu.com/s?rsv_dl=re_dqa_generate&amp;sa=re_dqa_generate&amp;wd=TFLOPS&amp;rsv_pq=a91cb6fd011a8c03&amp;oq=Tflops&amp;rsv_t=f8c9bUD9wAakNrwr/VSNKdpCXcZwipIf1eByN/bcQOc1fnHXM/qFbceiVIKT5L/R/A9tIw&amp;tn=68018901_3_dg&amp;ie=utf-8" </w:instrText>
            </w:r>
            <w:r>
              <w:rPr>
                <w:rFonts w:hint="eastAsia" w:ascii="仿宋_GB2312" w:hAnsi="仿宋_GB2312" w:eastAsia="仿宋_GB2312" w:cs="仿宋_GB2312"/>
                <w:i w:val="0"/>
                <w:iCs w:val="0"/>
                <w:color w:val="auto"/>
                <w:kern w:val="0"/>
                <w:sz w:val="24"/>
                <w:szCs w:val="24"/>
                <w:u w:val="none"/>
                <w:lang w:val="en-US" w:eastAsia="zh-CN" w:bidi="ar"/>
              </w:rPr>
              <w:fldChar w:fldCharType="separate"/>
            </w:r>
            <w:r>
              <w:rPr>
                <w:rStyle w:val="6"/>
                <w:rFonts w:hint="eastAsia" w:ascii="仿宋_GB2312" w:hAnsi="仿宋_GB2312" w:eastAsia="仿宋_GB2312" w:cs="仿宋_GB2312"/>
                <w:i w:val="0"/>
                <w:iCs w:val="0"/>
                <w:color w:val="auto"/>
                <w:sz w:val="24"/>
                <w:szCs w:val="24"/>
                <w:u w:val="none"/>
              </w:rPr>
              <w:t>GPU*8,单卡FP16半精度280‌TFLOPS、显存64G以上</w:t>
            </w:r>
            <w:r>
              <w:rPr>
                <w:rFonts w:hint="eastAsia" w:ascii="仿宋_GB2312" w:hAnsi="仿宋_GB2312" w:eastAsia="仿宋_GB2312" w:cs="仿宋_GB2312"/>
                <w:i w:val="0"/>
                <w:iCs w:val="0"/>
                <w:color w:val="auto"/>
                <w:kern w:val="0"/>
                <w:sz w:val="24"/>
                <w:szCs w:val="24"/>
                <w:u w:val="none"/>
                <w:lang w:val="en-US" w:eastAsia="zh-CN" w:bidi="ar"/>
              </w:rPr>
              <w:fldChar w:fldCharType="end"/>
            </w:r>
          </w:p>
        </w:tc>
        <w:tc>
          <w:tcPr>
            <w:tcW w:w="1943" w:type="dxa"/>
            <w:tcBorders>
              <w:tl2br w:val="nil"/>
              <w:tr2bl w:val="nil"/>
            </w:tcBorders>
            <w:shd w:val="clear" w:color="auto" w:fill="auto"/>
            <w:vAlign w:val="center"/>
          </w:tcPr>
          <w:p w14:paraId="691890FE">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元/台/月</w:t>
            </w:r>
          </w:p>
        </w:tc>
        <w:tc>
          <w:tcPr>
            <w:tcW w:w="1621" w:type="dxa"/>
            <w:tcBorders>
              <w:tl2br w:val="nil"/>
              <w:tr2bl w:val="nil"/>
            </w:tcBorders>
            <w:shd w:val="clear" w:color="auto" w:fill="auto"/>
            <w:vAlign w:val="center"/>
          </w:tcPr>
          <w:p w14:paraId="3A06FB50">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22082.58</w:t>
            </w:r>
          </w:p>
        </w:tc>
        <w:tc>
          <w:tcPr>
            <w:tcW w:w="1450" w:type="dxa"/>
            <w:vMerge w:val="restart"/>
            <w:tcBorders>
              <w:tl2br w:val="nil"/>
              <w:tr2bl w:val="nil"/>
            </w:tcBorders>
            <w:shd w:val="clear" w:color="auto" w:fill="auto"/>
            <w:vAlign w:val="center"/>
          </w:tcPr>
          <w:p w14:paraId="48A9E493">
            <w:pPr>
              <w:jc w:val="center"/>
              <w:rPr>
                <w:rFonts w:hint="eastAsia" w:ascii="仿宋_GB2312" w:hAnsi="仿宋_GB2312" w:eastAsia="仿宋_GB2312" w:cs="仿宋_GB2312"/>
                <w:i w:val="0"/>
                <w:iCs w:val="0"/>
                <w:color w:val="000000"/>
                <w:sz w:val="24"/>
                <w:szCs w:val="24"/>
                <w:u w:val="none"/>
              </w:rPr>
            </w:pPr>
          </w:p>
        </w:tc>
        <w:tc>
          <w:tcPr>
            <w:tcW w:w="1525" w:type="dxa"/>
            <w:vMerge w:val="restart"/>
            <w:tcBorders>
              <w:tl2br w:val="nil"/>
              <w:tr2bl w:val="nil"/>
            </w:tcBorders>
            <w:shd w:val="clear" w:color="auto" w:fill="auto"/>
            <w:vAlign w:val="center"/>
          </w:tcPr>
          <w:p w14:paraId="0CA5001A">
            <w:pPr>
              <w:jc w:val="center"/>
              <w:rPr>
                <w:rFonts w:hint="eastAsia" w:ascii="仿宋_GB2312" w:hAnsi="仿宋_GB2312" w:eastAsia="仿宋_GB2312" w:cs="仿宋_GB2312"/>
                <w:i w:val="0"/>
                <w:iCs w:val="0"/>
                <w:color w:val="000000"/>
                <w:sz w:val="24"/>
                <w:szCs w:val="24"/>
                <w:u w:val="none"/>
              </w:rPr>
            </w:pPr>
          </w:p>
        </w:tc>
        <w:tc>
          <w:tcPr>
            <w:tcW w:w="1525" w:type="dxa"/>
            <w:tcBorders>
              <w:tl2br w:val="nil"/>
              <w:tr2bl w:val="nil"/>
            </w:tcBorders>
            <w:shd w:val="clear" w:color="auto" w:fill="auto"/>
            <w:vAlign w:val="center"/>
          </w:tcPr>
          <w:p w14:paraId="46F7C37C">
            <w:pPr>
              <w:rPr>
                <w:rFonts w:hint="eastAsia" w:ascii="仿宋_GB2312" w:hAnsi="仿宋_GB2312" w:eastAsia="仿宋_GB2312" w:cs="仿宋_GB2312"/>
                <w:i w:val="0"/>
                <w:iCs w:val="0"/>
                <w:color w:val="000000"/>
                <w:sz w:val="24"/>
                <w:szCs w:val="24"/>
                <w:u w:val="none"/>
              </w:rPr>
            </w:pPr>
          </w:p>
        </w:tc>
      </w:tr>
      <w:tr w14:paraId="26EFF081">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910" w:hRule="atLeast"/>
        </w:trPr>
        <w:tc>
          <w:tcPr>
            <w:tcW w:w="1021" w:type="dxa"/>
            <w:tcBorders>
              <w:tl2br w:val="nil"/>
              <w:tr2bl w:val="nil"/>
            </w:tcBorders>
            <w:shd w:val="clear" w:color="auto" w:fill="auto"/>
            <w:vAlign w:val="center"/>
          </w:tcPr>
          <w:p w14:paraId="4D85DEE4">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2</w:t>
            </w:r>
          </w:p>
        </w:tc>
        <w:tc>
          <w:tcPr>
            <w:tcW w:w="2367" w:type="dxa"/>
            <w:tcBorders>
              <w:tl2br w:val="nil"/>
              <w:tr2bl w:val="nil"/>
            </w:tcBorders>
            <w:shd w:val="clear" w:color="auto" w:fill="auto"/>
            <w:vAlign w:val="center"/>
          </w:tcPr>
          <w:p w14:paraId="5F82C6A9">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低性能GPU裸金属</w:t>
            </w:r>
          </w:p>
        </w:tc>
        <w:tc>
          <w:tcPr>
            <w:tcW w:w="2012" w:type="dxa"/>
            <w:tcBorders>
              <w:tl2br w:val="nil"/>
              <w:tr2bl w:val="nil"/>
            </w:tcBorders>
            <w:shd w:val="clear" w:color="auto" w:fill="auto"/>
            <w:vAlign w:val="center"/>
          </w:tcPr>
          <w:p w14:paraId="5A39D241">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auto"/>
                <w:kern w:val="0"/>
                <w:sz w:val="24"/>
                <w:szCs w:val="24"/>
                <w:u w:val="none"/>
                <w:lang w:val="en-US" w:eastAsia="zh-CN" w:bidi="ar"/>
              </w:rPr>
              <w:fldChar w:fldCharType="begin"/>
            </w:r>
            <w:r>
              <w:rPr>
                <w:rFonts w:hint="eastAsia" w:ascii="仿宋_GB2312" w:hAnsi="仿宋_GB2312" w:eastAsia="仿宋_GB2312" w:cs="仿宋_GB2312"/>
                <w:i w:val="0"/>
                <w:iCs w:val="0"/>
                <w:color w:val="auto"/>
                <w:kern w:val="0"/>
                <w:sz w:val="24"/>
                <w:szCs w:val="24"/>
                <w:u w:val="none"/>
                <w:lang w:val="en-US" w:eastAsia="zh-CN" w:bidi="ar"/>
              </w:rPr>
              <w:instrText xml:space="preserve"> HYPERLINK "https://www.baidu.com/s?rsv_dl=re_dqa_generate&amp;sa=re_dqa_generate&amp;wd=TFLOPS&amp;rsv_pq=a91cb6fd011a8c03&amp;oq=Tflops&amp;rsv_t=f8c9bUD9wAakNrwr/VSNKdpCXcZwipIf1eByN/bcQOc1fnHXM/qFbceiVIKT5L/R/A9tIw&amp;tn=68018901_3_dg&amp;ie=utf-8" \o "https://www.baidu.com/s?rsv_dl=re_dqa_generate&amp;sa=re_dqa_generate&amp;wd=TFLOPS&amp;rsv_pq=a91cb6fd011a8c03&amp;oq=Tflops&amp;rsv_t=f8c9bUD9wAakNrwr/VSNKdpCXcZwipIf1eByN/bcQOc1fnHXM/qFbceiVIKT5L/R/A9tIw&amp;tn=68018901_3_dg&amp;ie=utf-8" </w:instrText>
            </w:r>
            <w:r>
              <w:rPr>
                <w:rFonts w:hint="eastAsia" w:ascii="仿宋_GB2312" w:hAnsi="仿宋_GB2312" w:eastAsia="仿宋_GB2312" w:cs="仿宋_GB2312"/>
                <w:i w:val="0"/>
                <w:iCs w:val="0"/>
                <w:color w:val="auto"/>
                <w:kern w:val="0"/>
                <w:sz w:val="24"/>
                <w:szCs w:val="24"/>
                <w:u w:val="none"/>
                <w:lang w:val="en-US" w:eastAsia="zh-CN" w:bidi="ar"/>
              </w:rPr>
              <w:fldChar w:fldCharType="separate"/>
            </w:r>
            <w:r>
              <w:rPr>
                <w:rStyle w:val="6"/>
                <w:rFonts w:hint="eastAsia" w:ascii="仿宋_GB2312" w:hAnsi="仿宋_GB2312" w:eastAsia="仿宋_GB2312" w:cs="仿宋_GB2312"/>
                <w:i w:val="0"/>
                <w:iCs w:val="0"/>
                <w:color w:val="auto"/>
                <w:sz w:val="24"/>
                <w:szCs w:val="24"/>
                <w:u w:val="none"/>
              </w:rPr>
              <w:t>GPU*8,单卡FP16半精度140‌TFLOPS、显存96G以上</w:t>
            </w:r>
            <w:r>
              <w:rPr>
                <w:rFonts w:hint="eastAsia" w:ascii="仿宋_GB2312" w:hAnsi="仿宋_GB2312" w:eastAsia="仿宋_GB2312" w:cs="仿宋_GB2312"/>
                <w:i w:val="0"/>
                <w:iCs w:val="0"/>
                <w:color w:val="auto"/>
                <w:kern w:val="0"/>
                <w:sz w:val="24"/>
                <w:szCs w:val="24"/>
                <w:u w:val="none"/>
                <w:lang w:val="en-US" w:eastAsia="zh-CN" w:bidi="ar"/>
              </w:rPr>
              <w:fldChar w:fldCharType="end"/>
            </w:r>
          </w:p>
        </w:tc>
        <w:tc>
          <w:tcPr>
            <w:tcW w:w="1943" w:type="dxa"/>
            <w:tcBorders>
              <w:tl2br w:val="nil"/>
              <w:tr2bl w:val="nil"/>
            </w:tcBorders>
            <w:shd w:val="clear" w:color="auto" w:fill="auto"/>
            <w:vAlign w:val="center"/>
          </w:tcPr>
          <w:p w14:paraId="668F2B85">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元/台/月</w:t>
            </w:r>
          </w:p>
        </w:tc>
        <w:tc>
          <w:tcPr>
            <w:tcW w:w="1621" w:type="dxa"/>
            <w:tcBorders>
              <w:tl2br w:val="nil"/>
              <w:tr2bl w:val="nil"/>
            </w:tcBorders>
            <w:shd w:val="clear" w:color="auto" w:fill="auto"/>
            <w:vAlign w:val="center"/>
          </w:tcPr>
          <w:p w14:paraId="0BF24B64">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9830.8</w:t>
            </w:r>
          </w:p>
        </w:tc>
        <w:tc>
          <w:tcPr>
            <w:tcW w:w="1450" w:type="dxa"/>
            <w:vMerge w:val="continue"/>
            <w:tcBorders>
              <w:tl2br w:val="nil"/>
              <w:tr2bl w:val="nil"/>
            </w:tcBorders>
            <w:shd w:val="clear" w:color="auto" w:fill="auto"/>
            <w:vAlign w:val="center"/>
          </w:tcPr>
          <w:p w14:paraId="7E504326">
            <w:pPr>
              <w:jc w:val="center"/>
              <w:rPr>
                <w:rFonts w:hint="eastAsia" w:ascii="仿宋_GB2312" w:hAnsi="仿宋_GB2312" w:eastAsia="仿宋_GB2312" w:cs="仿宋_GB2312"/>
                <w:i w:val="0"/>
                <w:iCs w:val="0"/>
                <w:color w:val="000000"/>
                <w:sz w:val="24"/>
                <w:szCs w:val="24"/>
                <w:u w:val="none"/>
              </w:rPr>
            </w:pPr>
          </w:p>
        </w:tc>
        <w:tc>
          <w:tcPr>
            <w:tcW w:w="1525" w:type="dxa"/>
            <w:vMerge w:val="continue"/>
            <w:tcBorders>
              <w:tl2br w:val="nil"/>
              <w:tr2bl w:val="nil"/>
            </w:tcBorders>
            <w:shd w:val="clear" w:color="auto" w:fill="auto"/>
            <w:vAlign w:val="center"/>
          </w:tcPr>
          <w:p w14:paraId="53CF2FD7">
            <w:pPr>
              <w:jc w:val="center"/>
              <w:rPr>
                <w:rFonts w:hint="eastAsia" w:ascii="仿宋_GB2312" w:hAnsi="仿宋_GB2312" w:eastAsia="仿宋_GB2312" w:cs="仿宋_GB2312"/>
                <w:i w:val="0"/>
                <w:iCs w:val="0"/>
                <w:color w:val="000000"/>
                <w:sz w:val="24"/>
                <w:szCs w:val="24"/>
                <w:u w:val="none"/>
              </w:rPr>
            </w:pPr>
          </w:p>
        </w:tc>
        <w:tc>
          <w:tcPr>
            <w:tcW w:w="1525" w:type="dxa"/>
            <w:tcBorders>
              <w:tl2br w:val="nil"/>
              <w:tr2bl w:val="nil"/>
            </w:tcBorders>
            <w:shd w:val="clear" w:color="auto" w:fill="auto"/>
            <w:vAlign w:val="center"/>
          </w:tcPr>
          <w:p w14:paraId="24EB75BF">
            <w:pPr>
              <w:rPr>
                <w:rFonts w:hint="eastAsia" w:ascii="仿宋_GB2312" w:hAnsi="仿宋_GB2312" w:eastAsia="仿宋_GB2312" w:cs="仿宋_GB2312"/>
                <w:i w:val="0"/>
                <w:iCs w:val="0"/>
                <w:color w:val="000000"/>
                <w:sz w:val="24"/>
                <w:szCs w:val="24"/>
                <w:u w:val="none"/>
              </w:rPr>
            </w:pPr>
          </w:p>
        </w:tc>
      </w:tr>
      <w:tr w14:paraId="5A3D1C88">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80" w:hRule="atLeast"/>
        </w:trPr>
        <w:tc>
          <w:tcPr>
            <w:tcW w:w="1021" w:type="dxa"/>
            <w:tcBorders>
              <w:tl2br w:val="nil"/>
              <w:tr2bl w:val="nil"/>
            </w:tcBorders>
            <w:shd w:val="clear" w:color="auto" w:fill="auto"/>
            <w:vAlign w:val="center"/>
          </w:tcPr>
          <w:p w14:paraId="0C3C037F">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3</w:t>
            </w:r>
          </w:p>
        </w:tc>
        <w:tc>
          <w:tcPr>
            <w:tcW w:w="2367" w:type="dxa"/>
            <w:tcBorders>
              <w:tl2br w:val="nil"/>
              <w:tr2bl w:val="nil"/>
            </w:tcBorders>
            <w:shd w:val="clear" w:color="auto" w:fill="auto"/>
            <w:vAlign w:val="center"/>
          </w:tcPr>
          <w:p w14:paraId="3BE83F18">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single"/>
              </w:rPr>
            </w:pPr>
            <w:r>
              <w:rPr>
                <w:rFonts w:hint="eastAsia" w:ascii="仿宋_GB2312" w:hAnsi="仿宋_GB2312" w:eastAsia="仿宋_GB2312" w:cs="仿宋_GB2312"/>
                <w:i w:val="0"/>
                <w:iCs w:val="0"/>
                <w:color w:val="000000"/>
                <w:kern w:val="0"/>
                <w:sz w:val="24"/>
                <w:szCs w:val="24"/>
                <w:u w:val="single"/>
                <w:lang w:val="en-US" w:eastAsia="zh-CN" w:bidi="ar"/>
              </w:rPr>
              <w:t>并行文件存储</w:t>
            </w:r>
          </w:p>
        </w:tc>
        <w:tc>
          <w:tcPr>
            <w:tcW w:w="2012" w:type="dxa"/>
            <w:tcBorders>
              <w:tl2br w:val="nil"/>
              <w:tr2bl w:val="nil"/>
            </w:tcBorders>
            <w:shd w:val="clear" w:color="auto" w:fill="auto"/>
            <w:vAlign w:val="center"/>
          </w:tcPr>
          <w:p w14:paraId="04C75F1D">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single"/>
              </w:rPr>
            </w:pPr>
            <w:r>
              <w:rPr>
                <w:rFonts w:hint="eastAsia" w:ascii="仿宋_GB2312" w:hAnsi="仿宋_GB2312" w:eastAsia="仿宋_GB2312" w:cs="仿宋_GB2312"/>
                <w:i w:val="0"/>
                <w:iCs w:val="0"/>
                <w:color w:val="000000"/>
                <w:kern w:val="0"/>
                <w:sz w:val="24"/>
                <w:szCs w:val="24"/>
                <w:u w:val="single"/>
                <w:lang w:val="en-US" w:eastAsia="zh-CN" w:bidi="ar"/>
              </w:rPr>
              <w:t>2T</w:t>
            </w:r>
          </w:p>
        </w:tc>
        <w:tc>
          <w:tcPr>
            <w:tcW w:w="1943" w:type="dxa"/>
            <w:tcBorders>
              <w:tl2br w:val="nil"/>
              <w:tr2bl w:val="nil"/>
            </w:tcBorders>
            <w:shd w:val="clear" w:color="auto" w:fill="auto"/>
            <w:vAlign w:val="center"/>
          </w:tcPr>
          <w:p w14:paraId="3C5463C1">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元/月</w:t>
            </w:r>
          </w:p>
        </w:tc>
        <w:tc>
          <w:tcPr>
            <w:tcW w:w="1621" w:type="dxa"/>
            <w:tcBorders>
              <w:tl2br w:val="nil"/>
              <w:tr2bl w:val="nil"/>
            </w:tcBorders>
            <w:shd w:val="clear" w:color="auto" w:fill="auto"/>
            <w:vAlign w:val="center"/>
          </w:tcPr>
          <w:p w14:paraId="48AF2A96">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413.46</w:t>
            </w:r>
          </w:p>
        </w:tc>
        <w:tc>
          <w:tcPr>
            <w:tcW w:w="1450" w:type="dxa"/>
            <w:vMerge w:val="continue"/>
            <w:tcBorders>
              <w:tl2br w:val="nil"/>
              <w:tr2bl w:val="nil"/>
            </w:tcBorders>
            <w:shd w:val="clear" w:color="auto" w:fill="auto"/>
            <w:vAlign w:val="center"/>
          </w:tcPr>
          <w:p w14:paraId="498F9D3C">
            <w:pPr>
              <w:jc w:val="center"/>
              <w:rPr>
                <w:rFonts w:hint="eastAsia" w:ascii="仿宋_GB2312" w:hAnsi="仿宋_GB2312" w:eastAsia="仿宋_GB2312" w:cs="仿宋_GB2312"/>
                <w:i w:val="0"/>
                <w:iCs w:val="0"/>
                <w:color w:val="000000"/>
                <w:sz w:val="24"/>
                <w:szCs w:val="24"/>
                <w:u w:val="none"/>
              </w:rPr>
            </w:pPr>
          </w:p>
        </w:tc>
        <w:tc>
          <w:tcPr>
            <w:tcW w:w="1525" w:type="dxa"/>
            <w:vMerge w:val="continue"/>
            <w:tcBorders>
              <w:tl2br w:val="nil"/>
              <w:tr2bl w:val="nil"/>
            </w:tcBorders>
            <w:shd w:val="clear" w:color="auto" w:fill="auto"/>
            <w:vAlign w:val="center"/>
          </w:tcPr>
          <w:p w14:paraId="1DC4E557">
            <w:pPr>
              <w:jc w:val="center"/>
              <w:rPr>
                <w:rFonts w:hint="eastAsia" w:ascii="仿宋_GB2312" w:hAnsi="仿宋_GB2312" w:eastAsia="仿宋_GB2312" w:cs="仿宋_GB2312"/>
                <w:i w:val="0"/>
                <w:iCs w:val="0"/>
                <w:color w:val="000000"/>
                <w:sz w:val="24"/>
                <w:szCs w:val="24"/>
                <w:u w:val="none"/>
              </w:rPr>
            </w:pPr>
          </w:p>
        </w:tc>
        <w:tc>
          <w:tcPr>
            <w:tcW w:w="1525" w:type="dxa"/>
            <w:tcBorders>
              <w:tl2br w:val="nil"/>
              <w:tr2bl w:val="nil"/>
            </w:tcBorders>
            <w:shd w:val="clear" w:color="auto" w:fill="auto"/>
            <w:vAlign w:val="center"/>
          </w:tcPr>
          <w:p w14:paraId="30630749">
            <w:pPr>
              <w:rPr>
                <w:rFonts w:hint="eastAsia" w:ascii="仿宋_GB2312" w:hAnsi="仿宋_GB2312" w:eastAsia="仿宋_GB2312" w:cs="仿宋_GB2312"/>
                <w:i w:val="0"/>
                <w:iCs w:val="0"/>
                <w:color w:val="000000"/>
                <w:sz w:val="24"/>
                <w:szCs w:val="24"/>
                <w:u w:val="none"/>
              </w:rPr>
            </w:pPr>
          </w:p>
        </w:tc>
      </w:tr>
      <w:tr w14:paraId="35D1952C">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40" w:hRule="atLeast"/>
        </w:trPr>
        <w:tc>
          <w:tcPr>
            <w:tcW w:w="1021" w:type="dxa"/>
            <w:tcBorders>
              <w:tl2br w:val="nil"/>
              <w:tr2bl w:val="nil"/>
            </w:tcBorders>
            <w:shd w:val="clear" w:color="auto" w:fill="auto"/>
            <w:vAlign w:val="center"/>
          </w:tcPr>
          <w:p w14:paraId="18116E41">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4</w:t>
            </w:r>
          </w:p>
        </w:tc>
        <w:tc>
          <w:tcPr>
            <w:tcW w:w="2367" w:type="dxa"/>
            <w:tcBorders>
              <w:tl2br w:val="nil"/>
              <w:tr2bl w:val="nil"/>
            </w:tcBorders>
            <w:shd w:val="clear" w:color="auto" w:fill="auto"/>
            <w:vAlign w:val="center"/>
          </w:tcPr>
          <w:p w14:paraId="3C3191AD">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single"/>
              </w:rPr>
            </w:pPr>
            <w:r>
              <w:rPr>
                <w:rFonts w:hint="eastAsia" w:ascii="仿宋_GB2312" w:hAnsi="仿宋_GB2312" w:eastAsia="仿宋_GB2312" w:cs="仿宋_GB2312"/>
                <w:i w:val="0"/>
                <w:iCs w:val="0"/>
                <w:color w:val="000000"/>
                <w:kern w:val="0"/>
                <w:sz w:val="24"/>
                <w:szCs w:val="24"/>
                <w:u w:val="single"/>
                <w:lang w:val="en-US" w:eastAsia="zh-CN" w:bidi="ar"/>
              </w:rPr>
              <w:t>CPU云主机/裸金属</w:t>
            </w:r>
          </w:p>
        </w:tc>
        <w:tc>
          <w:tcPr>
            <w:tcW w:w="2012" w:type="dxa"/>
            <w:tcBorders>
              <w:tl2br w:val="nil"/>
              <w:tr2bl w:val="nil"/>
            </w:tcBorders>
            <w:shd w:val="clear" w:color="auto" w:fill="auto"/>
            <w:vAlign w:val="center"/>
          </w:tcPr>
          <w:p w14:paraId="089736EE">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32C/256G配置及以上</w:t>
            </w:r>
          </w:p>
        </w:tc>
        <w:tc>
          <w:tcPr>
            <w:tcW w:w="1943" w:type="dxa"/>
            <w:tcBorders>
              <w:tl2br w:val="nil"/>
              <w:tr2bl w:val="nil"/>
            </w:tcBorders>
            <w:shd w:val="clear" w:color="auto" w:fill="auto"/>
            <w:vAlign w:val="center"/>
          </w:tcPr>
          <w:p w14:paraId="758A8709">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元/台/月</w:t>
            </w:r>
          </w:p>
        </w:tc>
        <w:tc>
          <w:tcPr>
            <w:tcW w:w="1621" w:type="dxa"/>
            <w:tcBorders>
              <w:tl2br w:val="nil"/>
              <w:tr2bl w:val="nil"/>
            </w:tcBorders>
            <w:shd w:val="clear" w:color="auto" w:fill="auto"/>
            <w:vAlign w:val="center"/>
          </w:tcPr>
          <w:p w14:paraId="0F174BCC">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1424.51</w:t>
            </w:r>
          </w:p>
        </w:tc>
        <w:tc>
          <w:tcPr>
            <w:tcW w:w="1450" w:type="dxa"/>
            <w:vMerge w:val="continue"/>
            <w:tcBorders>
              <w:tl2br w:val="nil"/>
              <w:tr2bl w:val="nil"/>
            </w:tcBorders>
            <w:shd w:val="clear" w:color="auto" w:fill="auto"/>
            <w:vAlign w:val="center"/>
          </w:tcPr>
          <w:p w14:paraId="48C4FCCB">
            <w:pPr>
              <w:jc w:val="center"/>
              <w:rPr>
                <w:rFonts w:hint="eastAsia" w:ascii="仿宋_GB2312" w:hAnsi="仿宋_GB2312" w:eastAsia="仿宋_GB2312" w:cs="仿宋_GB2312"/>
                <w:i w:val="0"/>
                <w:iCs w:val="0"/>
                <w:color w:val="000000"/>
                <w:sz w:val="24"/>
                <w:szCs w:val="24"/>
                <w:u w:val="none"/>
              </w:rPr>
            </w:pPr>
          </w:p>
        </w:tc>
        <w:tc>
          <w:tcPr>
            <w:tcW w:w="1525" w:type="dxa"/>
            <w:vMerge w:val="continue"/>
            <w:tcBorders>
              <w:tl2br w:val="nil"/>
              <w:tr2bl w:val="nil"/>
            </w:tcBorders>
            <w:shd w:val="clear" w:color="auto" w:fill="auto"/>
            <w:vAlign w:val="center"/>
          </w:tcPr>
          <w:p w14:paraId="2B99590C">
            <w:pPr>
              <w:jc w:val="center"/>
              <w:rPr>
                <w:rFonts w:hint="eastAsia" w:ascii="仿宋_GB2312" w:hAnsi="仿宋_GB2312" w:eastAsia="仿宋_GB2312" w:cs="仿宋_GB2312"/>
                <w:i w:val="0"/>
                <w:iCs w:val="0"/>
                <w:color w:val="000000"/>
                <w:sz w:val="24"/>
                <w:szCs w:val="24"/>
                <w:u w:val="none"/>
              </w:rPr>
            </w:pPr>
          </w:p>
        </w:tc>
        <w:tc>
          <w:tcPr>
            <w:tcW w:w="1525" w:type="dxa"/>
            <w:tcBorders>
              <w:tl2br w:val="nil"/>
              <w:tr2bl w:val="nil"/>
            </w:tcBorders>
            <w:shd w:val="clear" w:color="auto" w:fill="auto"/>
            <w:vAlign w:val="center"/>
          </w:tcPr>
          <w:p w14:paraId="2971848C">
            <w:pPr>
              <w:rPr>
                <w:rFonts w:hint="eastAsia" w:ascii="仿宋_GB2312" w:hAnsi="仿宋_GB2312" w:eastAsia="仿宋_GB2312" w:cs="仿宋_GB2312"/>
                <w:i w:val="0"/>
                <w:iCs w:val="0"/>
                <w:color w:val="000000"/>
                <w:sz w:val="24"/>
                <w:szCs w:val="24"/>
                <w:u w:val="none"/>
              </w:rPr>
            </w:pPr>
          </w:p>
        </w:tc>
      </w:tr>
      <w:tr w14:paraId="7241A8FF">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20" w:hRule="atLeast"/>
        </w:trPr>
        <w:tc>
          <w:tcPr>
            <w:tcW w:w="1021" w:type="dxa"/>
            <w:tcBorders>
              <w:tl2br w:val="nil"/>
              <w:tr2bl w:val="nil"/>
            </w:tcBorders>
            <w:shd w:val="clear" w:color="auto" w:fill="auto"/>
            <w:vAlign w:val="center"/>
          </w:tcPr>
          <w:p w14:paraId="6A0B6957">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5</w:t>
            </w:r>
          </w:p>
        </w:tc>
        <w:tc>
          <w:tcPr>
            <w:tcW w:w="2367" w:type="dxa"/>
            <w:tcBorders>
              <w:tl2br w:val="nil"/>
              <w:tr2bl w:val="nil"/>
            </w:tcBorders>
            <w:shd w:val="clear" w:color="auto" w:fill="auto"/>
            <w:vAlign w:val="center"/>
          </w:tcPr>
          <w:p w14:paraId="1EBCB868">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single"/>
              </w:rPr>
            </w:pPr>
            <w:r>
              <w:rPr>
                <w:rFonts w:hint="eastAsia" w:ascii="仿宋_GB2312" w:hAnsi="仿宋_GB2312" w:eastAsia="仿宋_GB2312" w:cs="仿宋_GB2312"/>
                <w:i w:val="0"/>
                <w:iCs w:val="0"/>
                <w:color w:val="000000"/>
                <w:kern w:val="0"/>
                <w:sz w:val="24"/>
                <w:szCs w:val="24"/>
                <w:u w:val="single"/>
                <w:lang w:val="en-US" w:eastAsia="zh-CN" w:bidi="ar"/>
              </w:rPr>
              <w:t>云硬盘</w:t>
            </w:r>
          </w:p>
        </w:tc>
        <w:tc>
          <w:tcPr>
            <w:tcW w:w="2012" w:type="dxa"/>
            <w:tcBorders>
              <w:tl2br w:val="nil"/>
              <w:tr2bl w:val="nil"/>
            </w:tcBorders>
            <w:shd w:val="clear" w:color="auto" w:fill="auto"/>
            <w:vAlign w:val="center"/>
          </w:tcPr>
          <w:p w14:paraId="16512033">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1G</w:t>
            </w:r>
          </w:p>
        </w:tc>
        <w:tc>
          <w:tcPr>
            <w:tcW w:w="1943" w:type="dxa"/>
            <w:tcBorders>
              <w:tl2br w:val="nil"/>
              <w:tr2bl w:val="nil"/>
            </w:tcBorders>
            <w:shd w:val="clear" w:color="auto" w:fill="auto"/>
            <w:vAlign w:val="center"/>
          </w:tcPr>
          <w:p w14:paraId="1A71AA4E">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元/月</w:t>
            </w:r>
          </w:p>
        </w:tc>
        <w:tc>
          <w:tcPr>
            <w:tcW w:w="1621" w:type="dxa"/>
            <w:tcBorders>
              <w:tl2br w:val="nil"/>
              <w:tr2bl w:val="nil"/>
            </w:tcBorders>
            <w:shd w:val="clear" w:color="auto" w:fill="auto"/>
            <w:vAlign w:val="center"/>
          </w:tcPr>
          <w:p w14:paraId="4FAB1D47">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0.07</w:t>
            </w:r>
          </w:p>
        </w:tc>
        <w:tc>
          <w:tcPr>
            <w:tcW w:w="1450" w:type="dxa"/>
            <w:vMerge w:val="continue"/>
            <w:tcBorders>
              <w:tl2br w:val="nil"/>
              <w:tr2bl w:val="nil"/>
            </w:tcBorders>
            <w:shd w:val="clear" w:color="auto" w:fill="auto"/>
            <w:vAlign w:val="center"/>
          </w:tcPr>
          <w:p w14:paraId="18B9463E">
            <w:pPr>
              <w:jc w:val="center"/>
              <w:rPr>
                <w:rFonts w:hint="eastAsia" w:ascii="仿宋_GB2312" w:hAnsi="仿宋_GB2312" w:eastAsia="仿宋_GB2312" w:cs="仿宋_GB2312"/>
                <w:i w:val="0"/>
                <w:iCs w:val="0"/>
                <w:color w:val="000000"/>
                <w:sz w:val="24"/>
                <w:szCs w:val="24"/>
                <w:u w:val="none"/>
              </w:rPr>
            </w:pPr>
          </w:p>
        </w:tc>
        <w:tc>
          <w:tcPr>
            <w:tcW w:w="1525" w:type="dxa"/>
            <w:vMerge w:val="continue"/>
            <w:tcBorders>
              <w:tl2br w:val="nil"/>
              <w:tr2bl w:val="nil"/>
            </w:tcBorders>
            <w:shd w:val="clear" w:color="auto" w:fill="auto"/>
            <w:vAlign w:val="center"/>
          </w:tcPr>
          <w:p w14:paraId="38DB85DF">
            <w:pPr>
              <w:jc w:val="center"/>
              <w:rPr>
                <w:rFonts w:hint="eastAsia" w:ascii="仿宋_GB2312" w:hAnsi="仿宋_GB2312" w:eastAsia="仿宋_GB2312" w:cs="仿宋_GB2312"/>
                <w:i w:val="0"/>
                <w:iCs w:val="0"/>
                <w:color w:val="000000"/>
                <w:sz w:val="24"/>
                <w:szCs w:val="24"/>
                <w:u w:val="none"/>
              </w:rPr>
            </w:pPr>
          </w:p>
        </w:tc>
        <w:tc>
          <w:tcPr>
            <w:tcW w:w="1525" w:type="dxa"/>
            <w:tcBorders>
              <w:tl2br w:val="nil"/>
              <w:tr2bl w:val="nil"/>
            </w:tcBorders>
            <w:shd w:val="clear" w:color="auto" w:fill="auto"/>
            <w:vAlign w:val="center"/>
          </w:tcPr>
          <w:p w14:paraId="3D62D2E7">
            <w:pPr>
              <w:rPr>
                <w:rFonts w:hint="eastAsia" w:ascii="仿宋_GB2312" w:hAnsi="仿宋_GB2312" w:eastAsia="仿宋_GB2312" w:cs="仿宋_GB2312"/>
                <w:i w:val="0"/>
                <w:iCs w:val="0"/>
                <w:color w:val="000000"/>
                <w:sz w:val="24"/>
                <w:szCs w:val="24"/>
                <w:u w:val="none"/>
              </w:rPr>
            </w:pPr>
          </w:p>
        </w:tc>
      </w:tr>
      <w:tr w14:paraId="555C7BA5">
        <w:tblPrEx>
          <w:tblBorders>
            <w:top w:val="single" w:color="auto" w:sz="12" w:space="0"/>
            <w:left w:val="single" w:color="auto" w:sz="12" w:space="0"/>
            <w:bottom w:val="single" w:color="auto" w:sz="12" w:space="0"/>
            <w:right w:val="single" w:color="auto" w:sz="12" w:space="0"/>
            <w:insideH w:val="single" w:color="auto" w:sz="4" w:space="0"/>
            <w:insideV w:val="single" w:color="auto" w:sz="4" w:space="0"/>
          </w:tblBorders>
          <w:shd w:val="clear" w:color="auto" w:fill="auto"/>
          <w:tblCellMar>
            <w:top w:w="0" w:type="dxa"/>
            <w:left w:w="108" w:type="dxa"/>
            <w:bottom w:w="0" w:type="dxa"/>
            <w:right w:w="108" w:type="dxa"/>
          </w:tblCellMar>
        </w:tblPrEx>
        <w:trPr>
          <w:trHeight w:val="780" w:hRule="atLeast"/>
        </w:trPr>
        <w:tc>
          <w:tcPr>
            <w:tcW w:w="1021" w:type="dxa"/>
            <w:tcBorders>
              <w:tl2br w:val="nil"/>
              <w:tr2bl w:val="nil"/>
            </w:tcBorders>
            <w:shd w:val="clear" w:color="auto" w:fill="auto"/>
            <w:vAlign w:val="center"/>
          </w:tcPr>
          <w:p w14:paraId="2447872E">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6</w:t>
            </w:r>
          </w:p>
        </w:tc>
        <w:tc>
          <w:tcPr>
            <w:tcW w:w="2367" w:type="dxa"/>
            <w:tcBorders>
              <w:tl2br w:val="nil"/>
              <w:tr2bl w:val="nil"/>
            </w:tcBorders>
            <w:shd w:val="clear" w:color="auto" w:fill="auto"/>
            <w:vAlign w:val="center"/>
          </w:tcPr>
          <w:p w14:paraId="7F28805C">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single"/>
              </w:rPr>
            </w:pPr>
            <w:r>
              <w:rPr>
                <w:rFonts w:hint="eastAsia" w:ascii="仿宋_GB2312" w:hAnsi="仿宋_GB2312" w:eastAsia="仿宋_GB2312" w:cs="仿宋_GB2312"/>
                <w:i w:val="0"/>
                <w:iCs w:val="0"/>
                <w:color w:val="000000"/>
                <w:kern w:val="0"/>
                <w:sz w:val="24"/>
                <w:szCs w:val="24"/>
                <w:u w:val="single"/>
                <w:lang w:val="en-US" w:eastAsia="zh-CN" w:bidi="ar"/>
              </w:rPr>
              <w:t>云专线</w:t>
            </w:r>
          </w:p>
        </w:tc>
        <w:tc>
          <w:tcPr>
            <w:tcW w:w="2012" w:type="dxa"/>
            <w:tcBorders>
              <w:tl2br w:val="nil"/>
              <w:tr2bl w:val="nil"/>
            </w:tcBorders>
            <w:shd w:val="clear" w:color="auto" w:fill="auto"/>
            <w:vAlign w:val="center"/>
          </w:tcPr>
          <w:p w14:paraId="2EA30B26">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1G</w:t>
            </w:r>
          </w:p>
        </w:tc>
        <w:tc>
          <w:tcPr>
            <w:tcW w:w="1943" w:type="dxa"/>
            <w:tcBorders>
              <w:tl2br w:val="nil"/>
              <w:tr2bl w:val="nil"/>
            </w:tcBorders>
            <w:shd w:val="clear" w:color="auto" w:fill="auto"/>
            <w:vAlign w:val="center"/>
          </w:tcPr>
          <w:p w14:paraId="0E78571E">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元/月</w:t>
            </w:r>
          </w:p>
        </w:tc>
        <w:tc>
          <w:tcPr>
            <w:tcW w:w="1621" w:type="dxa"/>
            <w:tcBorders>
              <w:tl2br w:val="nil"/>
              <w:tr2bl w:val="nil"/>
            </w:tcBorders>
            <w:shd w:val="clear" w:color="auto" w:fill="auto"/>
            <w:vAlign w:val="center"/>
          </w:tcPr>
          <w:p w14:paraId="30323405">
            <w:pPr>
              <w:keepNext w:val="0"/>
              <w:keepLines w:val="0"/>
              <w:widowControl/>
              <w:suppressLineNumbers w:val="0"/>
              <w:jc w:val="center"/>
              <w:textAlignment w:val="center"/>
              <w:rPr>
                <w:rFonts w:hint="eastAsia" w:ascii="仿宋_GB2312" w:hAnsi="仿宋_GB2312" w:eastAsia="仿宋_GB2312" w:cs="仿宋_GB2312"/>
                <w:i w:val="0"/>
                <w:iCs w:val="0"/>
                <w:color w:val="000000"/>
                <w:sz w:val="24"/>
                <w:szCs w:val="24"/>
                <w:u w:val="none"/>
              </w:rPr>
            </w:pPr>
            <w:r>
              <w:rPr>
                <w:rFonts w:hint="eastAsia" w:ascii="仿宋_GB2312" w:hAnsi="仿宋_GB2312" w:eastAsia="仿宋_GB2312" w:cs="仿宋_GB2312"/>
                <w:i w:val="0"/>
                <w:iCs w:val="0"/>
                <w:color w:val="000000"/>
                <w:kern w:val="0"/>
                <w:sz w:val="24"/>
                <w:szCs w:val="24"/>
                <w:u w:val="none"/>
                <w:lang w:val="en-US" w:eastAsia="zh-CN" w:bidi="ar"/>
              </w:rPr>
              <w:t>17362.26</w:t>
            </w:r>
          </w:p>
        </w:tc>
        <w:tc>
          <w:tcPr>
            <w:tcW w:w="1450" w:type="dxa"/>
            <w:vMerge w:val="continue"/>
            <w:tcBorders>
              <w:tl2br w:val="nil"/>
              <w:tr2bl w:val="nil"/>
            </w:tcBorders>
            <w:shd w:val="clear" w:color="auto" w:fill="auto"/>
            <w:vAlign w:val="center"/>
          </w:tcPr>
          <w:p w14:paraId="581C7B14">
            <w:pPr>
              <w:jc w:val="center"/>
              <w:rPr>
                <w:rFonts w:hint="eastAsia" w:ascii="仿宋_GB2312" w:hAnsi="仿宋_GB2312" w:eastAsia="仿宋_GB2312" w:cs="仿宋_GB2312"/>
                <w:i w:val="0"/>
                <w:iCs w:val="0"/>
                <w:color w:val="000000"/>
                <w:sz w:val="24"/>
                <w:szCs w:val="24"/>
                <w:u w:val="none"/>
              </w:rPr>
            </w:pPr>
          </w:p>
        </w:tc>
        <w:tc>
          <w:tcPr>
            <w:tcW w:w="1525" w:type="dxa"/>
            <w:vMerge w:val="continue"/>
            <w:tcBorders>
              <w:tl2br w:val="nil"/>
              <w:tr2bl w:val="nil"/>
            </w:tcBorders>
            <w:shd w:val="clear" w:color="auto" w:fill="auto"/>
            <w:vAlign w:val="center"/>
          </w:tcPr>
          <w:p w14:paraId="17F1A38F">
            <w:pPr>
              <w:jc w:val="center"/>
              <w:rPr>
                <w:rFonts w:hint="eastAsia" w:ascii="仿宋_GB2312" w:hAnsi="仿宋_GB2312" w:eastAsia="仿宋_GB2312" w:cs="仿宋_GB2312"/>
                <w:i w:val="0"/>
                <w:iCs w:val="0"/>
                <w:color w:val="000000"/>
                <w:sz w:val="24"/>
                <w:szCs w:val="24"/>
                <w:u w:val="none"/>
              </w:rPr>
            </w:pPr>
          </w:p>
        </w:tc>
        <w:tc>
          <w:tcPr>
            <w:tcW w:w="1525" w:type="dxa"/>
            <w:tcBorders>
              <w:tl2br w:val="nil"/>
              <w:tr2bl w:val="nil"/>
            </w:tcBorders>
            <w:shd w:val="clear" w:color="auto" w:fill="auto"/>
            <w:vAlign w:val="center"/>
          </w:tcPr>
          <w:p w14:paraId="4D7E9286">
            <w:pPr>
              <w:rPr>
                <w:rFonts w:hint="eastAsia" w:ascii="仿宋_GB2312" w:hAnsi="仿宋_GB2312" w:eastAsia="仿宋_GB2312" w:cs="仿宋_GB2312"/>
                <w:i w:val="0"/>
                <w:iCs w:val="0"/>
                <w:color w:val="000000"/>
                <w:sz w:val="24"/>
                <w:szCs w:val="24"/>
                <w:u w:val="none"/>
              </w:rPr>
            </w:pPr>
          </w:p>
        </w:tc>
      </w:tr>
    </w:tbl>
    <w:p w14:paraId="37D07DD7">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p>
    <w:p w14:paraId="3D8A9DAC">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p>
    <w:p w14:paraId="6CF1673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备注：</w:t>
      </w:r>
    </w:p>
    <w:p w14:paraId="786C88EE">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b/>
          <w:bCs/>
          <w:color w:val="FF0000"/>
          <w:sz w:val="24"/>
          <w:szCs w:val="24"/>
          <w:lang w:val="en-US" w:eastAsia="zh-CN"/>
        </w:rPr>
      </w:pPr>
      <w:r>
        <w:rPr>
          <w:rFonts w:hint="eastAsia" w:ascii="宋体" w:hAnsi="宋体" w:eastAsia="宋体" w:cs="宋体"/>
          <w:b/>
          <w:bCs/>
          <w:color w:val="FF0000"/>
          <w:sz w:val="24"/>
          <w:szCs w:val="24"/>
          <w:lang w:val="en-US" w:eastAsia="zh-CN"/>
        </w:rPr>
        <w:t>1、请应答人务必注意“折扣”、“折扣率” 的报价。举例：基准价为1元，折扣后价格为0.8元，则折扣为80%，折扣率为20%。折扣率=（原价格-折后价格）/原价格*100%=1-折扣。ES系统手工录入的价格为“折扣率”，务必注意不要填错！！！</w:t>
      </w:r>
    </w:p>
    <w:p w14:paraId="5A0DE0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2、已唱价的公开唱价记录表的唱价金额与应答文件中相应内容不一致的，以已唱价的公开唱价记录表的唱价金额为准；若出现折扣率与以折扣计算结果不一致的，以折扣计算结果为准进行修正。</w:t>
      </w:r>
    </w:p>
    <w:p w14:paraId="1F293B5A">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3、应答人在采购基准单价基础上报折扣，以百分数报出折扣，所报折扣不允许大于100%。折扣需取整（小数点后的数字，无论大小一律舍去），且合同价执行舍去后的折扣。例：折扣85.123%为85%，80.659%仍取为80%。</w:t>
      </w:r>
    </w:p>
    <w:p w14:paraId="5DF20BF3">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4、集采合同结算单价=含税采购基准单价*供应商中选折扣。</w:t>
      </w:r>
    </w:p>
    <w:p w14:paraId="7D50E179">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5、含税基准单价=不含税基准单价×（1+税率），含税基准单价保留2位小数。以折扣后含税单价进行结算。如果应答人是小规模纳税人，则按照“不含税基准单价*（1+增值税征收率）*折扣”进行结算，其中“不含税基准单价=现有含税基准单价/（1+6%）”，计算结果以元为单位保留2位小数。</w:t>
      </w:r>
    </w:p>
    <w:p w14:paraId="145F76C5">
      <w:pPr>
        <w:keepNext w:val="0"/>
        <w:keepLines w:val="0"/>
        <w:pageBreakBefore w:val="0"/>
        <w:widowControl w:val="0"/>
        <w:kinsoku/>
        <w:wordWrap/>
        <w:overflowPunct/>
        <w:topLinePunct w:val="0"/>
        <w:autoSpaceDE/>
        <w:autoSpaceDN/>
        <w:bidi w:val="0"/>
        <w:adjustRightInd/>
        <w:snapToGrid/>
        <w:spacing w:line="360" w:lineRule="auto"/>
        <w:textAlignment w:val="auto"/>
        <w:rPr>
          <w:rFonts w:hint="eastAsia" w:ascii="宋体" w:hAnsi="宋体" w:eastAsia="宋体" w:cs="宋体"/>
          <w:color w:val="auto"/>
          <w:sz w:val="24"/>
          <w:szCs w:val="24"/>
          <w:lang w:val="en-US" w:eastAsia="zh-CN"/>
        </w:rPr>
      </w:pPr>
      <w:r>
        <w:rPr>
          <w:rFonts w:hint="eastAsia" w:ascii="宋体" w:hAnsi="宋体" w:eastAsia="宋体" w:cs="宋体"/>
          <w:color w:val="auto"/>
          <w:sz w:val="24"/>
          <w:szCs w:val="24"/>
          <w:lang w:val="en-US" w:eastAsia="zh-CN"/>
        </w:rPr>
        <w:t>6、税率特指增值税扣税凭证上显示的税率，若应答单位报价中增值税税率与实际开具增值税发票中税率不一致，采购方以不含税价及实际开具的税费作为向应答方的结算付款依据。</w:t>
      </w:r>
    </w:p>
    <w:p w14:paraId="2E1813E5">
      <w:pPr>
        <w:keepNext w:val="0"/>
        <w:keepLines w:val="0"/>
        <w:pageBreakBefore w:val="0"/>
        <w:widowControl w:val="0"/>
        <w:kinsoku/>
        <w:wordWrap/>
        <w:overflowPunct/>
        <w:topLinePunct w:val="0"/>
        <w:autoSpaceDE/>
        <w:autoSpaceDN/>
        <w:bidi w:val="0"/>
        <w:adjustRightInd/>
        <w:snapToGrid/>
        <w:spacing w:line="360" w:lineRule="auto"/>
        <w:textAlignment w:val="auto"/>
        <w:rPr>
          <w:rFonts w:hint="default" w:ascii="宋体" w:hAnsi="宋体" w:eastAsia="宋体" w:cs="宋体"/>
          <w:b/>
          <w:bCs/>
          <w:color w:val="FF0000"/>
          <w:sz w:val="24"/>
          <w:szCs w:val="24"/>
          <w:highlight w:val="yellow"/>
          <w:lang w:val="en-US" w:eastAsia="zh-CN"/>
        </w:rPr>
      </w:pPr>
      <w:bookmarkStart w:id="0" w:name="_GoBack"/>
      <w:r>
        <w:rPr>
          <w:rFonts w:hint="eastAsia" w:ascii="宋体" w:hAnsi="宋体" w:eastAsia="宋体" w:cs="宋体"/>
          <w:b/>
          <w:bCs/>
          <w:color w:val="FF0000"/>
          <w:sz w:val="24"/>
          <w:szCs w:val="24"/>
          <w:highlight w:val="yellow"/>
          <w:lang w:val="en-US" w:eastAsia="zh-CN"/>
        </w:rPr>
        <w:t>7、应答人在服务周期内因政策变化或营销活动导致价格低于本项目合同价格，应答人需提前书面告知，采购方有权享受应答人的低于本项目合同的价格。</w:t>
      </w:r>
    </w:p>
    <w:bookmarkEnd w:id="0"/>
    <w:sectPr>
      <w:pgSz w:w="16838" w:h="11906" w:orient="landscape"/>
      <w:pgMar w:top="1440" w:right="1689" w:bottom="1440" w:left="1800" w:header="851" w:footer="992" w:gutter="0"/>
      <w:pgBorders>
        <w:top w:val="none" w:sz="0" w:space="0"/>
        <w:left w:val="none" w:sz="0" w:space="0"/>
        <w:bottom w:val="none" w:sz="0" w:space="0"/>
        <w:right w:val="none" w:sz="0" w:space="0"/>
      </w:pgBorders>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altName w:val="DejaVu Sans"/>
    <w:panose1 w:val="02020603050405020304"/>
    <w:charset w:val="01"/>
    <w:family w:val="auto"/>
    <w:pitch w:val="default"/>
    <w:sig w:usb0="00000000" w:usb1="00000000" w:usb2="00000009" w:usb3="00000000" w:csb0="400001FF" w:csb1="FFFF0000"/>
  </w:font>
  <w:font w:name="宋体">
    <w:altName w:val="方正书宋_GBK"/>
    <w:panose1 w:val="00000000000000000000"/>
    <w:charset w:val="00"/>
    <w:family w:val="auto"/>
    <w:pitch w:val="default"/>
    <w:sig w:usb0="00000000" w:usb1="00000000" w:usb2="00000000" w:usb3="00000000" w:csb0="00000000" w:csb1="00000000"/>
  </w:font>
  <w:font w:name="Wingdings">
    <w:altName w:val="MathJax_Vector"/>
    <w:panose1 w:val="05000000000000000000"/>
    <w:charset w:val="02"/>
    <w:family w:val="auto"/>
    <w:pitch w:val="default"/>
    <w:sig w:usb0="00000000" w:usb1="00000000" w:usb2="00000000" w:usb3="00000000" w:csb0="80000000" w:csb1="00000000"/>
  </w:font>
  <w:font w:name="Arial">
    <w:altName w:val="DejaVu Sans"/>
    <w:panose1 w:val="020B0604020202020204"/>
    <w:charset w:val="01"/>
    <w:family w:val="swiss"/>
    <w:pitch w:val="default"/>
    <w:sig w:usb0="E0002AFF" w:usb1="C0007843" w:usb2="00000009" w:usb3="00000000" w:csb0="400001FF" w:csb1="FFFF0000"/>
  </w:font>
  <w:font w:name="黑体">
    <w:altName w:val="方正黑体_GBK"/>
    <w:panose1 w:val="02010609060101010101"/>
    <w:charset w:val="86"/>
    <w:family w:val="auto"/>
    <w:pitch w:val="default"/>
    <w:sig w:usb0="800002BF" w:usb1="38CF7CFA" w:usb2="00000016" w:usb3="00000000" w:csb0="00040001" w:csb1="00000000"/>
  </w:font>
  <w:font w:name="Courier New">
    <w:altName w:val="DejaVu Sans"/>
    <w:panose1 w:val="02070309020205020404"/>
    <w:charset w:val="01"/>
    <w:family w:val="modern"/>
    <w:pitch w:val="default"/>
    <w:sig w:usb0="E0002AFF" w:usb1="C0007843" w:usb2="00000009" w:usb3="00000000" w:csb0="400001FF" w:csb1="FFFF0000"/>
  </w:font>
  <w:font w:name="Symbol">
    <w:altName w:val="MathJax_Vector"/>
    <w:panose1 w:val="05050102010706020507"/>
    <w:charset w:val="02"/>
    <w:family w:val="roman"/>
    <w:pitch w:val="default"/>
    <w:sig w:usb0="00000000" w:usb1="00000000" w:usb2="00000000" w:usb3="00000000" w:csb0="80000000" w:csb1="00000000"/>
  </w:font>
  <w:font w:name="DejaVu Sans">
    <w:panose1 w:val="020B0603030804020204"/>
    <w:charset w:val="00"/>
    <w:family w:val="auto"/>
    <w:pitch w:val="default"/>
    <w:sig w:usb0="E7006EFF" w:usb1="D200FDFF" w:usb2="0A246029" w:usb3="0400200C" w:csb0="600001FF" w:csb1="DFFF0000"/>
  </w:font>
  <w:font w:name="Calibri">
    <w:altName w:val="DejaVu Sans"/>
    <w:panose1 w:val="020F0502020204030204"/>
    <w:charset w:val="00"/>
    <w:family w:val="swiss"/>
    <w:pitch w:val="default"/>
    <w:sig w:usb0="00000000" w:usb1="00000000" w:usb2="00000001" w:usb3="00000000" w:csb0="0000019F" w:csb1="00000000"/>
  </w:font>
  <w:font w:name="方正书宋_GBK">
    <w:panose1 w:val="02000000000000000000"/>
    <w:charset w:val="86"/>
    <w:family w:val="auto"/>
    <w:pitch w:val="default"/>
    <w:sig w:usb0="00000001" w:usb1="08000000" w:usb2="00000000" w:usb3="00000000" w:csb0="00040000" w:csb1="00000000"/>
  </w:font>
  <w:font w:name="Calibri Light">
    <w:altName w:val="DejaVu Sans"/>
    <w:panose1 w:val="020F0302020204030204"/>
    <w:charset w:val="00"/>
    <w:family w:val="swiss"/>
    <w:pitch w:val="default"/>
    <w:sig w:usb0="00000000" w:usb1="00000000" w:usb2="00000009" w:usb3="00000000" w:csb0="200001FF" w:csb1="00000000"/>
  </w:font>
  <w:font w:name="仿宋_GB2312">
    <w:panose1 w:val="02010609030101010101"/>
    <w:charset w:val="86"/>
    <w:family w:val="auto"/>
    <w:pitch w:val="default"/>
    <w:sig w:usb0="00000001" w:usb1="080E0000" w:usb2="00000000" w:usb3="00000000" w:csb0="0004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zk3NjVjYjVmMzYyZGU0ZWY0ZjVjMTQxMGY0NDMzN2EifQ=="/>
  </w:docVars>
  <w:rsids>
    <w:rsidRoot w:val="00000000"/>
    <w:rsid w:val="007A0D79"/>
    <w:rsid w:val="01C336AA"/>
    <w:rsid w:val="01CB731F"/>
    <w:rsid w:val="034D0392"/>
    <w:rsid w:val="03A7370C"/>
    <w:rsid w:val="041A5C49"/>
    <w:rsid w:val="045370A8"/>
    <w:rsid w:val="06025AE9"/>
    <w:rsid w:val="067824A8"/>
    <w:rsid w:val="06D46131"/>
    <w:rsid w:val="084E640C"/>
    <w:rsid w:val="090452B8"/>
    <w:rsid w:val="0AE71698"/>
    <w:rsid w:val="0AEC3255"/>
    <w:rsid w:val="0B6A1622"/>
    <w:rsid w:val="0BC24A6D"/>
    <w:rsid w:val="0BE472B0"/>
    <w:rsid w:val="0C522046"/>
    <w:rsid w:val="0CD1209D"/>
    <w:rsid w:val="0D242479"/>
    <w:rsid w:val="0D4252AC"/>
    <w:rsid w:val="0D54319D"/>
    <w:rsid w:val="0D7660A8"/>
    <w:rsid w:val="0F410EA0"/>
    <w:rsid w:val="0F42378F"/>
    <w:rsid w:val="10203F6B"/>
    <w:rsid w:val="10D70330"/>
    <w:rsid w:val="1146319E"/>
    <w:rsid w:val="11BA1031"/>
    <w:rsid w:val="129D2161"/>
    <w:rsid w:val="12B31497"/>
    <w:rsid w:val="13863105"/>
    <w:rsid w:val="139E67AB"/>
    <w:rsid w:val="13C23177"/>
    <w:rsid w:val="13F3449A"/>
    <w:rsid w:val="15430AC7"/>
    <w:rsid w:val="1548367B"/>
    <w:rsid w:val="16556E41"/>
    <w:rsid w:val="16CF459E"/>
    <w:rsid w:val="171262B0"/>
    <w:rsid w:val="175974DB"/>
    <w:rsid w:val="17A86947"/>
    <w:rsid w:val="19E16F05"/>
    <w:rsid w:val="1A607A23"/>
    <w:rsid w:val="1A8707A2"/>
    <w:rsid w:val="1AA43CB9"/>
    <w:rsid w:val="1BDE1C7C"/>
    <w:rsid w:val="1C691521"/>
    <w:rsid w:val="1C6F1AB4"/>
    <w:rsid w:val="1CC53DDF"/>
    <w:rsid w:val="1D2C232B"/>
    <w:rsid w:val="1DEF6859"/>
    <w:rsid w:val="1E7C212F"/>
    <w:rsid w:val="1F9D516C"/>
    <w:rsid w:val="20E41ADC"/>
    <w:rsid w:val="21101B01"/>
    <w:rsid w:val="213D280A"/>
    <w:rsid w:val="22D542D6"/>
    <w:rsid w:val="23197FC0"/>
    <w:rsid w:val="23547BAF"/>
    <w:rsid w:val="236A2FD9"/>
    <w:rsid w:val="25C13E9D"/>
    <w:rsid w:val="25DF46F1"/>
    <w:rsid w:val="26445655"/>
    <w:rsid w:val="264B33B1"/>
    <w:rsid w:val="27B566D3"/>
    <w:rsid w:val="281F24AF"/>
    <w:rsid w:val="28DE26D1"/>
    <w:rsid w:val="29FB11D2"/>
    <w:rsid w:val="2A1A4907"/>
    <w:rsid w:val="2A794334"/>
    <w:rsid w:val="2AAF1A65"/>
    <w:rsid w:val="2ADC24E0"/>
    <w:rsid w:val="2AEE3648"/>
    <w:rsid w:val="2BCC55B5"/>
    <w:rsid w:val="2BDB094E"/>
    <w:rsid w:val="2C086C8C"/>
    <w:rsid w:val="2CC85EE2"/>
    <w:rsid w:val="305C49FF"/>
    <w:rsid w:val="31E30823"/>
    <w:rsid w:val="332F02CA"/>
    <w:rsid w:val="333E5F2A"/>
    <w:rsid w:val="35646427"/>
    <w:rsid w:val="369C6124"/>
    <w:rsid w:val="376F10CA"/>
    <w:rsid w:val="39061414"/>
    <w:rsid w:val="39396CB4"/>
    <w:rsid w:val="39B54B0D"/>
    <w:rsid w:val="3AD13008"/>
    <w:rsid w:val="3AFE373D"/>
    <w:rsid w:val="3B5F3A84"/>
    <w:rsid w:val="3B8B41C7"/>
    <w:rsid w:val="3C1732DC"/>
    <w:rsid w:val="3C1E5C33"/>
    <w:rsid w:val="3C5447B9"/>
    <w:rsid w:val="3E9B7E30"/>
    <w:rsid w:val="3FFFFA4F"/>
    <w:rsid w:val="41586871"/>
    <w:rsid w:val="422D6682"/>
    <w:rsid w:val="42B03C96"/>
    <w:rsid w:val="430D55A2"/>
    <w:rsid w:val="43B560F9"/>
    <w:rsid w:val="43E70499"/>
    <w:rsid w:val="47C8530C"/>
    <w:rsid w:val="4835350C"/>
    <w:rsid w:val="48621481"/>
    <w:rsid w:val="489A4C85"/>
    <w:rsid w:val="49D7534B"/>
    <w:rsid w:val="49D83B39"/>
    <w:rsid w:val="49F64B56"/>
    <w:rsid w:val="4A614406"/>
    <w:rsid w:val="4A697D1D"/>
    <w:rsid w:val="4D540DCE"/>
    <w:rsid w:val="4D805136"/>
    <w:rsid w:val="4E107C12"/>
    <w:rsid w:val="4E3F52B7"/>
    <w:rsid w:val="4F7B718F"/>
    <w:rsid w:val="50B405F4"/>
    <w:rsid w:val="51917235"/>
    <w:rsid w:val="529A4D7E"/>
    <w:rsid w:val="539F3AA2"/>
    <w:rsid w:val="53EE11F9"/>
    <w:rsid w:val="543333BD"/>
    <w:rsid w:val="544B1587"/>
    <w:rsid w:val="5AE838EB"/>
    <w:rsid w:val="5C4F54D6"/>
    <w:rsid w:val="5D83256C"/>
    <w:rsid w:val="5DD60701"/>
    <w:rsid w:val="5E4D5C02"/>
    <w:rsid w:val="5ED31ED3"/>
    <w:rsid w:val="5ED450D2"/>
    <w:rsid w:val="5F407CD3"/>
    <w:rsid w:val="5FF79183"/>
    <w:rsid w:val="604E3D7E"/>
    <w:rsid w:val="60677708"/>
    <w:rsid w:val="60866B47"/>
    <w:rsid w:val="60AD7F4A"/>
    <w:rsid w:val="620329DA"/>
    <w:rsid w:val="62157177"/>
    <w:rsid w:val="622B7C43"/>
    <w:rsid w:val="63155758"/>
    <w:rsid w:val="64FA277A"/>
    <w:rsid w:val="67AD625C"/>
    <w:rsid w:val="68236415"/>
    <w:rsid w:val="6890028C"/>
    <w:rsid w:val="69303936"/>
    <w:rsid w:val="69B44A7D"/>
    <w:rsid w:val="6A3865C1"/>
    <w:rsid w:val="6B2507E7"/>
    <w:rsid w:val="6BF20330"/>
    <w:rsid w:val="6CA92100"/>
    <w:rsid w:val="6E785F23"/>
    <w:rsid w:val="6FFC708D"/>
    <w:rsid w:val="70321B8C"/>
    <w:rsid w:val="713236C6"/>
    <w:rsid w:val="71413FD1"/>
    <w:rsid w:val="7217448E"/>
    <w:rsid w:val="73161968"/>
    <w:rsid w:val="74FB0D5A"/>
    <w:rsid w:val="7506055D"/>
    <w:rsid w:val="75566908"/>
    <w:rsid w:val="757916FA"/>
    <w:rsid w:val="7681677C"/>
    <w:rsid w:val="7790694D"/>
    <w:rsid w:val="77FF6969"/>
    <w:rsid w:val="785F3F2D"/>
    <w:rsid w:val="7A0635C0"/>
    <w:rsid w:val="7C6C3589"/>
    <w:rsid w:val="7CE74072"/>
    <w:rsid w:val="7D191913"/>
    <w:rsid w:val="7D6A4C5A"/>
    <w:rsid w:val="7E6F669E"/>
    <w:rsid w:val="7EDE231D"/>
    <w:rsid w:val="7F4D1486"/>
    <w:rsid w:val="B5BF49EE"/>
    <w:rsid w:val="B77F40C8"/>
    <w:rsid w:val="CF2ECDCB"/>
    <w:rsid w:val="EBED8601"/>
    <w:rsid w:val="EFB67724"/>
    <w:rsid w:val="FBFD425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9" w:semiHidden="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qFormat="1"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2"/>
    <w:basedOn w:val="1"/>
    <w:next w:val="1"/>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character" w:default="1" w:styleId="5">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paragraph" w:styleId="3">
    <w:name w:val="annotation text"/>
    <w:basedOn w:val="1"/>
    <w:qFormat/>
    <w:uiPriority w:val="0"/>
    <w:pPr>
      <w:jc w:val="left"/>
    </w:pPr>
  </w:style>
  <w:style w:type="character" w:styleId="6">
    <w:name w:val="Hyperlink"/>
    <w:basedOn w:val="5"/>
    <w:qFormat/>
    <w:uiPriority w:val="0"/>
    <w:rPr>
      <w:color w:val="0000FF"/>
      <w:u w:val="single"/>
    </w:rPr>
  </w:style>
  <w:style w:type="character" w:customStyle="1" w:styleId="7">
    <w:name w:val="font11"/>
    <w:basedOn w:val="5"/>
    <w:qFormat/>
    <w:uiPriority w:val="0"/>
    <w:rPr>
      <w:rFonts w:hint="eastAsia" w:ascii="仿宋_GB2312" w:eastAsia="仿宋_GB2312" w:cs="仿宋_GB2312"/>
      <w:b/>
      <w:bCs/>
      <w:color w:val="000000"/>
      <w:sz w:val="32"/>
      <w:szCs w:val="32"/>
      <w:u w:val="none"/>
    </w:rPr>
  </w:style>
  <w:style w:type="character" w:customStyle="1" w:styleId="8">
    <w:name w:val="font21"/>
    <w:basedOn w:val="5"/>
    <w:qFormat/>
    <w:uiPriority w:val="0"/>
    <w:rPr>
      <w:rFonts w:hint="eastAsia" w:ascii="仿宋_GB2312" w:eastAsia="仿宋_GB2312" w:cs="仿宋_GB2312"/>
      <w:color w:val="000000"/>
      <w:sz w:val="32"/>
      <w:szCs w:val="32"/>
      <w:u w:val="none"/>
    </w:rPr>
  </w:style>
  <w:style w:type="character" w:customStyle="1" w:styleId="9">
    <w:name w:val="font01"/>
    <w:basedOn w:val="5"/>
    <w:qFormat/>
    <w:uiPriority w:val="0"/>
    <w:rPr>
      <w:rFonts w:hint="eastAsia" w:ascii="宋体" w:hAnsi="宋体" w:eastAsia="宋体" w:cs="宋体"/>
      <w:color w:val="000000"/>
      <w:sz w:val="24"/>
      <w:szCs w:val="24"/>
      <w:u w:val="none"/>
    </w:rPr>
  </w:style>
  <w:style w:type="character" w:customStyle="1" w:styleId="10">
    <w:name w:val="15"/>
    <w:basedOn w:val="5"/>
    <w:qFormat/>
    <w:uiPriority w:val="0"/>
    <w:rPr>
      <w:rFonts w:hint="default" w:ascii="Times New Roman" w:hAnsi="Times New Roman" w:cs="Times New Roman"/>
    </w:rPr>
  </w:style>
  <w:style w:type="character" w:customStyle="1" w:styleId="11">
    <w:name w:val="10"/>
    <w:basedOn w:val="5"/>
    <w:qFormat/>
    <w:uiPriority w:val="0"/>
    <w:rPr>
      <w:rFonts w:hint="default" w:ascii="Times New Roman" w:hAnsi="Times New Roman" w:cs="Times New Roman"/>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3</Pages>
  <Words>607</Words>
  <Characters>740</Characters>
  <Lines>0</Lines>
  <Paragraphs>0</Paragraphs>
  <TotalTime>4</TotalTime>
  <ScaleCrop>false</ScaleCrop>
  <LinksUpToDate>false</LinksUpToDate>
  <CharactersWithSpaces>740</CharactersWithSpaces>
  <Application>WPS Office_12.8.2.21176_F1E327BC-269C-435d-A152-05C5408002CA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2021-08-14T08:36:00Z</dcterms:created>
  <dc:creator>Lenovo</dc:creator>
  <cp:lastModifiedBy>邹金柱</cp:lastModifiedBy>
  <dcterms:modified xsi:type="dcterms:W3CDTF">2025-10-11T10:31:18Z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2052-12.8.2.21176</vt:lpwstr>
  </property>
  <property fmtid="{D5CDD505-2E9C-101B-9397-08002B2CF9AE}" pid="3" name="ICV">
    <vt:lpwstr>C916D391139E475C941DE0C87F65F3EF_13</vt:lpwstr>
  </property>
  <property fmtid="{D5CDD505-2E9C-101B-9397-08002B2CF9AE}" pid="4" name="KSOTemplateDocerSaveRecord">
    <vt:lpwstr>eyJoZGlkIjoiZjAyNjZlOWM4ZTlhYWU3NTJkYjIxMDgwMzhlNzIxOGMiLCJ1c2VySWQiOiI0NTk1MDU2OTYifQ==</vt:lpwstr>
  </property>
</Properties>
</file>