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C3DA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68B045C7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Delta Sharing mode should be used when the recipient does not use Databricks?</w:t>
      </w:r>
    </w:p>
    <w:p w14:paraId="4D71DD5A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Open Sharing</w:t>
      </w:r>
    </w:p>
    <w:p w14:paraId="24459B6A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1D68038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 Sharing is intended for recipients who are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Databricks users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. Because Delta Sharing is an open protocol, recipients can use supported clients such as Apache Spark, pandas, Power BI, Tableau, and other compatible tools. </w:t>
      </w:r>
    </w:p>
    <w:p w14:paraId="3A5D3474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24B22620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Open Sharing enables secure cross-platform sharing beyond Databricks workspaces.</w:t>
      </w:r>
    </w:p>
    <w:p w14:paraId="616D674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3D1EE2FC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assume the recipient must already have a Databricks workspace.</w:t>
      </w:r>
    </w:p>
    <w:p w14:paraId="64F6A42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650363D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9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https://www.youtube.com/watch?v=O8xpljQ4FqM</w:t>
        </w:r>
      </w:hyperlink>
    </w:p>
    <w:p w14:paraId="4E1B52B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https://www.youtube.com/results?search_query=Databricks+Open+Sharing</w:t>
      </w:r>
    </w:p>
    <w:p w14:paraId="0940A46D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33D0BC44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