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620B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2BC0AF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is the data for a managed table stored when no storage location is specified?</w:t>
      </w:r>
    </w:p>
    <w:p w14:paraId="32FED206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Unity Catalog's managed storage location (catalog or metastore managed location)</w:t>
      </w:r>
    </w:p>
    <w:p w14:paraId="74CBED8B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E64E4A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tables use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storage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3ED8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automatically chooses the storage location using this priority:</w:t>
      </w:r>
    </w:p>
    <w:p w14:paraId="1EDB0864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Managed Location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 Managed Location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Metastore Managed Location</w:t>
      </w:r>
    </w:p>
    <w:p w14:paraId="53DDA35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If no schema or catalog location exists, the metastore location is used.</w:t>
      </w:r>
    </w:p>
    <w:p w14:paraId="78D0379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The user does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specify a 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66F186C7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ACC61E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Managed Storage</w:t>
      </w:r>
    </w:p>
    <w:p w14:paraId="6DD58E9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https://www.youtube.com/results?search_query=Unity+Catalog+Managed+Storage</w:t>
      </w:r>
    </w:p>
    <w:p w14:paraId="34CB7033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1247F9A1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