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A262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5C5E558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how long does Unity Catalog retain dropped managed tables so they can be recovered?</w:t>
      </w:r>
    </w:p>
    <w:p w14:paraId="2A031D6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</w:t>
      </w:r>
    </w:p>
    <w:p w14:paraId="548C466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475773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Timeline:</w:t>
      </w:r>
    </w:p>
    <w:p w14:paraId="496A7F39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0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Days 1–7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UNDROP Allowed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Day 7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Permanent Deletion</w:t>
      </w:r>
    </w:p>
    <w:p w14:paraId="159F812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recovery period gives administrators time to recover tables that were accidentally deleted.</w:t>
      </w:r>
    </w:p>
    <w:p w14:paraId="232B828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573B2D1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Recovery</w:t>
      </w:r>
    </w:p>
    <w:p w14:paraId="143DA01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B33C9A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</w:t>
      </w:r>
    </w:p>
    <w:p w14:paraId="2CCB0A9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46137CB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Recovery Features</w:t>
      </w:r>
    </w:p>
    <w:p w14:paraId="20A6156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https://www.youtube.com/results?search_query=Unity+Catalog+Recovery</w:t>
      </w:r>
    </w:p>
    <w:p w14:paraId="1E90D6A8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725C7325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