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907A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9</w:t>
      </w:r>
    </w:p>
    <w:p w14:paraId="5EA35D07" w14:textId="77777777" w:rsidR="00F0440E" w:rsidRPr="00F0440E" w:rsidRDefault="00F0440E" w:rsidP="00F0440E">
      <w:r w:rsidRPr="00F0440E">
        <w:rPr>
          <w:b/>
          <w:bCs/>
        </w:rPr>
        <w:t>How can an administrator grant a user access to an additional market segment without modifying the row filter function?</w:t>
      </w:r>
    </w:p>
    <w:p w14:paraId="3C34C509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Rewrite the SQL function.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4F77CEE6" w14:textId="77777777" w:rsidR="00F0440E" w:rsidRPr="00F0440E" w:rsidRDefault="00F0440E" w:rsidP="00F0440E">
      <w:r w:rsidRPr="00F0440E">
        <w:t>That would require unnecessary code changes.</w:t>
      </w:r>
    </w:p>
    <w:p w14:paraId="42492539" w14:textId="77777777" w:rsidR="00F0440E" w:rsidRPr="00F0440E" w:rsidRDefault="00F0440E" w:rsidP="00F0440E">
      <w:r w:rsidRPr="00F0440E">
        <w:pict w14:anchorId="5F6C24BB">
          <v:rect id="_x0000_i1427" style="width:0;height:1.5pt" o:hralign="center" o:hrstd="t" o:hr="t" fillcolor="#a0a0a0" stroked="f"/>
        </w:pict>
      </w:r>
    </w:p>
    <w:p w14:paraId="0B25C31E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lastRenderedPageBreak/>
        <w:t xml:space="preserve">B. Recreate the table.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42BB0D58" w14:textId="77777777" w:rsidR="00F0440E" w:rsidRPr="00F0440E" w:rsidRDefault="00F0440E" w:rsidP="00F0440E">
      <w:r w:rsidRPr="00F0440E">
        <w:t>The table structure hasn't changed.</w:t>
      </w:r>
    </w:p>
    <w:p w14:paraId="1CFBD2B2" w14:textId="77777777" w:rsidR="00F0440E" w:rsidRPr="00F0440E" w:rsidRDefault="00F0440E" w:rsidP="00F0440E">
      <w:r w:rsidRPr="00F0440E">
        <w:pict w14:anchorId="52CA000F">
          <v:rect id="_x0000_i1428" style="width:0;height:1.5pt" o:hralign="center" o:hrstd="t" o:hr="t" fillcolor="#a0a0a0" stroked="f"/>
        </w:pict>
      </w:r>
    </w:p>
    <w:p w14:paraId="03CEB57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Update the metadata table with the new authorization rule.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2C140539" w14:textId="77777777" w:rsidR="00F0440E" w:rsidRPr="00F0440E" w:rsidRDefault="00F0440E" w:rsidP="00F0440E">
      <w:r w:rsidRPr="00F0440E">
        <w:t>Example:</w:t>
      </w:r>
    </w:p>
    <w:p w14:paraId="17192CA2" w14:textId="77777777" w:rsidR="00F0440E" w:rsidRPr="00F0440E" w:rsidRDefault="00F0440E" w:rsidP="00F0440E">
      <w:r w:rsidRPr="00F0440E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24"/>
      </w:tblGrid>
      <w:tr w:rsidR="00F0440E" w:rsidRPr="00F0440E" w14:paraId="256B5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1FCEC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1E0BAD0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17542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3D17" w14:textId="77777777" w:rsidR="00F0440E" w:rsidRPr="00F0440E" w:rsidRDefault="00F0440E" w:rsidP="00F0440E">
            <w:r w:rsidRPr="00F0440E">
              <w:t>John</w:t>
            </w:r>
          </w:p>
        </w:tc>
        <w:tc>
          <w:tcPr>
            <w:tcW w:w="0" w:type="auto"/>
            <w:vAlign w:val="center"/>
            <w:hideMark/>
          </w:tcPr>
          <w:p w14:paraId="0CA454C1" w14:textId="77777777" w:rsidR="00F0440E" w:rsidRPr="00F0440E" w:rsidRDefault="00F0440E" w:rsidP="00F0440E">
            <w:r w:rsidRPr="00F0440E">
              <w:t>East</w:t>
            </w:r>
          </w:p>
        </w:tc>
      </w:tr>
    </w:tbl>
    <w:p w14:paraId="12AF607A" w14:textId="77777777" w:rsidR="00F0440E" w:rsidRPr="00F0440E" w:rsidRDefault="00F0440E" w:rsidP="00F0440E">
      <w:r w:rsidRPr="00F0440E">
        <w:t>Administrator adds: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824"/>
      </w:tblGrid>
      <w:tr w:rsidR="00F0440E" w:rsidRPr="00F0440E" w14:paraId="3CB20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EDC7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6F2D3BE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4234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D6FE" w14:textId="77777777" w:rsidR="00F0440E" w:rsidRPr="00F0440E" w:rsidRDefault="00F0440E" w:rsidP="00F0440E">
            <w:r w:rsidRPr="00F0440E">
              <w:t>John</w:t>
            </w:r>
          </w:p>
        </w:tc>
        <w:tc>
          <w:tcPr>
            <w:tcW w:w="0" w:type="auto"/>
            <w:vAlign w:val="center"/>
            <w:hideMark/>
          </w:tcPr>
          <w:p w14:paraId="25A19096" w14:textId="77777777" w:rsidR="00F0440E" w:rsidRPr="00F0440E" w:rsidRDefault="00F0440E" w:rsidP="00F0440E">
            <w:r w:rsidRPr="00F0440E">
              <w:t>West</w:t>
            </w:r>
          </w:p>
        </w:tc>
      </w:tr>
    </w:tbl>
    <w:p w14:paraId="772412F9" w14:textId="77777777" w:rsidR="00F0440E" w:rsidRPr="00F0440E" w:rsidRDefault="00F0440E" w:rsidP="00F0440E">
      <w:r w:rsidRPr="00F0440E">
        <w:t>The function stays exactly the same.</w:t>
      </w:r>
    </w:p>
    <w:p w14:paraId="3DF8CC80" w14:textId="77777777" w:rsidR="00F0440E" w:rsidRPr="00F0440E" w:rsidRDefault="00F0440E" w:rsidP="00F0440E">
      <w:r w:rsidRPr="00F0440E">
        <w:t>Only the metadata changes.</w:t>
      </w:r>
    </w:p>
    <w:p w14:paraId="0CCA0FAA" w14:textId="77777777" w:rsidR="00F0440E" w:rsidRPr="00F0440E" w:rsidRDefault="00F0440E" w:rsidP="00F0440E">
      <w:r w:rsidRPr="00F0440E">
        <w:t>This is one of the biggest advantages of metadata-driven security.</w:t>
      </w:r>
    </w:p>
    <w:p w14:paraId="3EC792F9" w14:textId="77777777" w:rsidR="00F0440E" w:rsidRPr="00F0440E" w:rsidRDefault="00F0440E" w:rsidP="00F0440E">
      <w:r w:rsidRPr="00F0440E">
        <w:pict w14:anchorId="2A712F65">
          <v:rect id="_x0000_i1429" style="width:0;height:1.5pt" o:hralign="center" o:hrstd="t" o:hr="t" fillcolor="#a0a0a0" stroked="f"/>
        </w:pict>
      </w:r>
    </w:p>
    <w:p w14:paraId="095E265D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Restart the Databricks cluster.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7BF27155" w14:textId="77777777" w:rsidR="00F0440E" w:rsidRPr="00F0440E" w:rsidRDefault="00F0440E" w:rsidP="00F0440E">
      <w:r w:rsidRPr="00F0440E">
        <w:t>Security changes don't require cluster restarts.</w:t>
      </w:r>
    </w:p>
    <w:p w14:paraId="1EF2C8E2" w14:textId="77777777" w:rsidR="00F0440E" w:rsidRPr="00F0440E" w:rsidRDefault="00F0440E" w:rsidP="00F0440E">
      <w:r w:rsidRPr="00F0440E">
        <w:pict w14:anchorId="5333F767">
          <v:rect id="_x0000_i1430" style="width:0;height:1.5pt" o:hralign="center" o:hrstd="t" o:hr="t" fillcolor="#a0a0a0" stroked="f"/>
        </w:pict>
      </w:r>
    </w:p>
    <w:p w14:paraId="63115B7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Create a separate table for the user.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BEDF9FC" w14:textId="77777777" w:rsidR="00F0440E" w:rsidRPr="00F0440E" w:rsidRDefault="00F0440E" w:rsidP="00F0440E">
      <w:r w:rsidRPr="00F0440E">
        <w:t>That defeats the purpose of Row-Level Security.</w:t>
      </w:r>
    </w:p>
    <w:p w14:paraId="639BFCA8" w14:textId="77777777" w:rsidR="00F0440E" w:rsidRPr="00F0440E" w:rsidRDefault="00F0440E" w:rsidP="00F0440E">
      <w:r w:rsidRPr="00F0440E">
        <w:pict w14:anchorId="0BA70FB9">
          <v:rect id="_x0000_i1431" style="width:0;height:1.5pt" o:hralign="center" o:hrstd="t" o:hr="t" fillcolor="#a0a0a0" stroked="f"/>
        </w:pict>
      </w:r>
    </w:p>
    <w:p w14:paraId="72389723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000B1F51" w14:textId="77777777" w:rsidR="00F0440E" w:rsidRPr="00F0440E" w:rsidRDefault="00F0440E" w:rsidP="00F0440E">
      <w:r w:rsidRPr="00F0440E">
        <w:t>The security rules live in the metadata table, allowing administrators to change access without modifying application logic.</w:t>
      </w:r>
    </w:p>
    <w:p w14:paraId="45BD14CE" w14:textId="77777777" w:rsidR="00F0440E" w:rsidRPr="00F0440E" w:rsidRDefault="00F0440E" w:rsidP="00F0440E">
      <w:r w:rsidRPr="00F0440E">
        <w:pict w14:anchorId="2312F5DD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