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A3C2E"/>
          <w:sz w:val="56"/>
          <w:szCs w:val="56"/>
        </w:rPr>
        <w:t xml:space="preserve">DEMONOPOL</w:t>
      </w:r>
    </w:p>
    <w:p>
      <w:pPr>
        <w:spacing w:after="240" w:before="0"/>
        <w:jc w:val="center"/>
      </w:pPr>
      <w:r>
        <w:rPr>
          <w:rFonts w:ascii="Arial" w:cs="Arial" w:eastAsia="Arial" w:hAnsi="Arial"/>
          <w:b/>
          <w:bCs/>
          <w:color w:val="C9A96E"/>
          <w:sz w:val="32"/>
          <w:szCs w:val="32"/>
        </w:rPr>
        <w:t xml:space="preserve">TOKENIZATION-AS-A-SERVICE</w:t>
      </w:r>
    </w:p>
    <w:p>
      <w:pPr>
        <w:spacing w:after="600" w:before="0"/>
        <w:jc w:val="center"/>
      </w:pPr>
      <w:r>
        <w:rPr>
          <w:rFonts w:ascii="Arial" w:cs="Arial" w:eastAsia="Arial" w:hAnsi="Arial"/>
          <w:sz w:val="26"/>
          <w:szCs w:val="26"/>
        </w:rPr>
        <w:t xml:space="preserve">Master Prompt — Website Build Brief</w:t>
      </w:r>
    </w:p>
    <w:p>
      <w:pPr>
        <w:spacing w:after="120" w:before="0"/>
        <w:jc w:val="center"/>
      </w:pPr>
      <w:r>
        <w:rPr>
          <w:rFonts w:ascii="Arial" w:cs="Arial" w:eastAsia="Arial" w:hAnsi="Arial"/>
          <w:i/>
          <w:iCs/>
          <w:color w:val="666666"/>
          <w:sz w:val="22"/>
          <w:szCs w:val="22"/>
        </w:rPr>
        <w:t xml:space="preserve">Bilingual EN  /  VN</w:t>
      </w:r>
    </w:p>
    <w:p>
      <w:pPr>
        <w:spacing w:after="600" w:before="0"/>
        <w:jc w:val="center"/>
      </w:pPr>
      <w:r>
        <w:rPr>
          <w:rFonts w:ascii="Arial" w:cs="Arial" w:eastAsia="Arial" w:hAnsi="Arial"/>
          <w:i/>
          <w:iCs/>
          <w:color w:val="666666"/>
          <w:sz w:val="22"/>
          <w:szCs w:val="22"/>
        </w:rPr>
        <w:t xml:space="preserve">Bản song ngữ Anh / Việt</w:t>
      </w:r>
    </w:p>
    <w:p>
      <w:pPr>
        <w:spacing w:after="120" w:before="800"/>
        <w:jc w:val="center"/>
      </w:pPr>
      <w:r>
        <w:rPr>
          <w:rFonts w:ascii="Arial" w:cs="Arial" w:eastAsia="Arial" w:hAnsi="Arial"/>
          <w:color w:val="666666"/>
          <w:sz w:val="22"/>
          <w:szCs w:val="22"/>
        </w:rPr>
        <w:t xml:space="preserve">Version 1.0</w:t>
      </w:r>
    </w:p>
    <w:p>
      <w:pPr>
        <w:spacing w:after="0" w:before="0"/>
        <w:jc w:val="center"/>
      </w:pPr>
      <w:r>
        <w:rPr>
          <w:rFonts w:ascii="Arial" w:cs="Arial" w:eastAsia="Arial" w:hAnsi="Arial"/>
          <w:i/>
          <w:iCs/>
          <w:color w:val="888888"/>
          <w:sz w:val="20"/>
          <w:szCs w:val="20"/>
        </w:rPr>
        <w:t xml:space="preserve">For: design, dev, and content teams</w:t>
      </w:r>
    </w:p>
    <w:p>
      <w:r>
        <w:br w:type="page"/>
      </w:r>
    </w:p>
    <w:p>
      <w:pPr>
        <w:pStyle w:val="Heading1"/>
        <w:spacing w:after="160" w:before="360"/>
      </w:pPr>
      <w:r>
        <w:rPr>
          <w:rFonts w:ascii="Arial" w:cs="Arial" w:eastAsia="Arial" w:hAnsi="Arial"/>
          <w:b/>
          <w:bCs/>
          <w:sz w:val="32"/>
          <w:szCs w:val="32"/>
        </w:rPr>
        <w:t xml:space="preserve">0. How to use this document</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0. Cách sử dụng tài liệu này</w:t>
      </w:r>
    </w:p>
    <w:p>
      <w:pPr>
        <w:spacing w:after="0" w:before="60"/>
      </w:pPr>
      <w:r>
        <w:rPr>
          <w:rFonts w:ascii="Arial" w:cs="Arial" w:eastAsia="Arial" w:hAnsi="Arial"/>
          <w:sz w:val="22"/>
          <w:szCs w:val="22"/>
        </w:rPr>
        <w:t xml:space="preserve">This is the master prompt for the new Demonopol Tokenization-as-a-Service (TaaS) website. Feed it as a single brief to designers, developers, copywriters, or to an AI build agent. It defines positioning, audience, services, pricing, anti-leech mechanics, information architecture, tone, design tokens, conversion flow, tech requirements, and KPIs. Nothing in this document is to be invented or extrapolated by downstream executors — anything missing must be flagged and asked back to Guillaume.</w:t>
      </w:r>
    </w:p>
    <w:p>
      <w:pPr>
        <w:spacing w:after="120" w:before="0"/>
      </w:pPr>
      <w:r>
        <w:rPr>
          <w:rFonts w:ascii="Arial" w:cs="Arial" w:eastAsia="Arial" w:hAnsi="Arial"/>
          <w:i/>
          <w:iCs/>
          <w:color w:val="1A3C2E"/>
          <w:sz w:val="22"/>
          <w:szCs w:val="22"/>
        </w:rPr>
        <w:t xml:space="preserve">Đây là master prompt cho website Tokenization-as-a-Service (TaaS) mới của Demonopol. Dùng làm brief duy nhất cho designer, developer, copywriter hoặc AI agent. Tài liệu xác định định vị, khách hàng, dịch vụ, giá, cơ chế chống "leecher", kiến trúc thông tin, giọng văn, design tokens, luồng chuyển đổi, yêu cầu kỹ thuật và KPI. Không được tự suy diễn hay bịa thông tin — thiếu gì phải hỏi lại Guillaume.</w:t>
      </w:r>
    </w:p>
    <w:p>
      <w:pPr>
        <w:pStyle w:val="Heading1"/>
        <w:spacing w:after="160" w:before="360"/>
      </w:pPr>
      <w:r>
        <w:rPr>
          <w:rFonts w:ascii="Arial" w:cs="Arial" w:eastAsia="Arial" w:hAnsi="Arial"/>
          <w:b/>
          <w:bCs/>
          <w:sz w:val="32"/>
          <w:szCs w:val="32"/>
        </w:rPr>
        <w:t xml:space="preserve">1. Mandate</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1. Nhiệm vụ</w:t>
      </w:r>
    </w:p>
    <w:p>
      <w:pPr>
        <w:spacing w:after="0" w:before="60"/>
      </w:pPr>
      <w:r>
        <w:rPr>
          <w:rFonts w:ascii="Arial" w:cs="Arial" w:eastAsia="Arial" w:hAnsi="Arial"/>
          <w:sz w:val="22"/>
          <w:szCs w:val="22"/>
        </w:rPr>
        <w:t xml:space="preserve">Build a standalone, conversion-focused web property under the Demonopol umbrella that productizes RWA tokenization advisory and execution for SMEs, asset owners, family offices, and emerging-market issuers. The site must (a) educate prospects in 60 seconds, (b) qualify them through a structured intake, (c) sell three productized tiers — Free Self-Check, $400 Diagnostic, $200 Promotion Boost — and (d) hand qualified leads into the full Tokenization Mandate path.</w:t>
      </w:r>
    </w:p>
    <w:p>
      <w:pPr>
        <w:spacing w:after="120" w:before="0"/>
      </w:pPr>
      <w:r>
        <w:rPr>
          <w:rFonts w:ascii="Arial" w:cs="Arial" w:eastAsia="Arial" w:hAnsi="Arial"/>
          <w:i/>
          <w:iCs/>
          <w:color w:val="1A3C2E"/>
          <w:sz w:val="22"/>
          <w:szCs w:val="22"/>
        </w:rPr>
        <w:t xml:space="preserve">Xây dựng một website độc lập thuộc hệ sinh thái Demonopol, tập trung vào chuyển đổi (conversion). Mục tiêu là sản phẩm hóa dịch vụ tư vấn và thực thi tokenization RWA cho SME, chủ tài sản, family office và nhà phát hành thị trường mới nổi. Website phải (a) giáo dục khách trong 60 giây, (b) sàng lọc qua intake form, (c) bán ba gói sản phẩm — Self-Check Miễn phí, Diagnostic $400, Promotion Boost $200 — và (d) đưa lead đủ điều kiện vào lộ trình Mandate đầy đủ.</w:t>
      </w:r>
    </w:p>
    <w:p>
      <w:pPr>
        <w:pStyle w:val="Heading2"/>
        <w:spacing w:after="120" w:before="240"/>
      </w:pPr>
      <w:r>
        <w:rPr>
          <w:rFonts w:ascii="Arial" w:cs="Arial" w:eastAsia="Arial" w:hAnsi="Arial"/>
          <w:b/>
          <w:bCs/>
          <w:sz w:val="26"/>
          <w:szCs w:val="26"/>
        </w:rPr>
        <w:t xml:space="preserve">Domain &amp; placement</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Tên miền &amp; vị trí</w:t>
      </w:r>
    </w:p>
    <w:p>
      <w:pPr>
        <w:spacing w:after="0" w:before="60"/>
      </w:pPr>
      <w:r>
        <w:rPr>
          <w:rFonts w:ascii="Arial" w:cs="Arial" w:eastAsia="Arial" w:hAnsi="Arial"/>
          <w:sz w:val="22"/>
          <w:szCs w:val="22"/>
        </w:rPr>
        <w:t xml:space="preserve">Recommended subdomain: tokenize.demonopol.com (alternates: rwa.demonopol.com, services.demonopol.com). The site is a sibling to demonopol.com — it must feel like the same family but with a sharper B2B tone and clearer commercial CTAs. Header navigation must include a back-link to demonopol.com.</w:t>
      </w:r>
    </w:p>
    <w:p>
      <w:pPr>
        <w:spacing w:after="120" w:before="0"/>
      </w:pPr>
      <w:r>
        <w:rPr>
          <w:rFonts w:ascii="Arial" w:cs="Arial" w:eastAsia="Arial" w:hAnsi="Arial"/>
          <w:i/>
          <w:iCs/>
          <w:color w:val="1A3C2E"/>
          <w:sz w:val="22"/>
          <w:szCs w:val="22"/>
        </w:rPr>
        <w:t xml:space="preserve">Subdomain đề xuất: tokenize.demonopol.com (phương án thay thế: rwa.demonopol.com, services.demonopol.com). Website là "anh em" với demonopol.com — phải cùng họ thương hiệu nhưng giọng B2B sắc hơn và CTA thương mại rõ hơn. Header phải có link về demonopol.com.</w:t>
      </w:r>
    </w:p>
    <w:p>
      <w:pPr>
        <w:pStyle w:val="Heading1"/>
        <w:spacing w:after="160" w:before="360"/>
      </w:pPr>
      <w:r>
        <w:rPr>
          <w:rFonts w:ascii="Arial" w:cs="Arial" w:eastAsia="Arial" w:hAnsi="Arial"/>
          <w:b/>
          <w:bCs/>
          <w:sz w:val="32"/>
          <w:szCs w:val="32"/>
        </w:rPr>
        <w:t xml:space="preserve">2. Brand &amp; ecosystem context</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2. Bối cảnh thương hiệu &amp; hệ sinh thái</w:t>
      </w:r>
    </w:p>
    <w:p>
      <w:pPr>
        <w:spacing w:after="0" w:before="60"/>
      </w:pPr>
      <w:r>
        <w:rPr>
          <w:rFonts w:ascii="Arial" w:cs="Arial" w:eastAsia="Arial" w:hAnsi="Arial"/>
          <w:sz w:val="22"/>
          <w:szCs w:val="22"/>
        </w:rPr>
        <w:t xml:space="preserve">Demonopol is a decentralized RWA ecosystem on Sui Network. Core components: real estate launchpad, Tokenization Protocol, $MONO token (utility + governance), DeFi (staking, yield, DEX), DAO governance, AI agents, GameFi (DeMonopoly). Today the public-facing offering is fractional real estate investment from $1, projected APR 8–28%. The TaaS website expands the ecosystem from "place to invest in tokenized assets" to "place to tokenize your assets and reach investors." This is the B2B / supply-side product.</w:t>
      </w:r>
    </w:p>
    <w:p>
      <w:pPr>
        <w:spacing w:after="120" w:before="0"/>
      </w:pPr>
      <w:r>
        <w:rPr>
          <w:rFonts w:ascii="Arial" w:cs="Arial" w:eastAsia="Arial" w:hAnsi="Arial"/>
          <w:i/>
          <w:iCs/>
          <w:color w:val="1A3C2E"/>
          <w:sz w:val="22"/>
          <w:szCs w:val="22"/>
        </w:rPr>
        <w:t xml:space="preserve">Demonopol là hệ sinh thái RWA phi tập trung trên Sui Network. Thành phần cốt lõi: launchpad bất động sản, Tokenization Protocol, $MONO token (utility + governance), DeFi (staking, yield, DEX), quản trị DAO, AI agents, GameFi (DeMonopoly). Hiện sản phẩm chính là đầu tư BĐS phân mảnh từ $1, APR dự kiến 8–28%. Website TaaS mở rộng hệ sinh thái từ "nơi đầu tư tài sản đã token hóa" sang "nơi token hóa tài sản và tiếp cận nhà đầu tư." Đây là sản phẩm B2B / phía cung.</w:t>
      </w:r>
    </w:p>
    <w:p>
      <w:pPr>
        <w:pStyle w:val="Heading2"/>
        <w:spacing w:after="120" w:before="240"/>
      </w:pPr>
      <w:r>
        <w:rPr>
          <w:rFonts w:ascii="Arial" w:cs="Arial" w:eastAsia="Arial" w:hAnsi="Arial"/>
          <w:b/>
          <w:bCs/>
          <w:sz w:val="26"/>
          <w:szCs w:val="26"/>
        </w:rPr>
        <w:t xml:space="preserve">Strategic asset on the table</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Lợi thế chiến lược sẵn có</w:t>
      </w:r>
    </w:p>
    <w:p>
      <w:pPr>
        <w:pStyle w:val="ListParagraph"/>
        <w:numPr>
          <w:ilvl w:val="0"/>
          <w:numId w:val="2"/>
        </w:numPr>
        <w:spacing w:after="0" w:before="40"/>
      </w:pPr>
      <w:r>
        <w:rPr>
          <w:rFonts w:ascii="Arial" w:cs="Arial" w:eastAsia="Arial" w:hAnsi="Arial"/>
          <w:sz w:val="22"/>
          <w:szCs w:val="22"/>
        </w:rPr>
        <w:t xml:space="preserve">Existing tokenization protocol on Sui (low gas, fast finality).</w:t>
      </w:r>
    </w:p>
    <w:p>
      <w:pPr>
        <w:pStyle w:val="ListParagraph"/>
        <w:numPr>
          <w:ilvl w:val="1"/>
          <w:numId w:val="2"/>
        </w:numPr>
        <w:spacing w:after="80" w:before="0"/>
      </w:pPr>
      <w:r>
        <w:rPr>
          <w:rFonts w:ascii="Arial" w:cs="Arial" w:eastAsia="Arial" w:hAnsi="Arial"/>
          <w:i/>
          <w:iCs/>
          <w:color w:val="1A3C2E"/>
          <w:sz w:val="22"/>
          <w:szCs w:val="22"/>
        </w:rPr>
        <w:t xml:space="preserve">Tokenization Protocol đã có trên Sui (gas thấp, finality nhanh).</w:t>
      </w:r>
    </w:p>
    <w:p>
      <w:pPr>
        <w:pStyle w:val="ListParagraph"/>
        <w:numPr>
          <w:ilvl w:val="0"/>
          <w:numId w:val="2"/>
        </w:numPr>
        <w:spacing w:after="0" w:before="40"/>
      </w:pPr>
      <w:r>
        <w:rPr>
          <w:rFonts w:ascii="Arial" w:cs="Arial" w:eastAsia="Arial" w:hAnsi="Arial"/>
          <w:sz w:val="22"/>
          <w:szCs w:val="22"/>
        </w:rPr>
        <w:t xml:space="preserve">$MONO token + investor base + KOL program already in operation.</w:t>
      </w:r>
    </w:p>
    <w:p>
      <w:pPr>
        <w:pStyle w:val="ListParagraph"/>
        <w:numPr>
          <w:ilvl w:val="1"/>
          <w:numId w:val="2"/>
        </w:numPr>
        <w:spacing w:after="80" w:before="0"/>
      </w:pPr>
      <w:r>
        <w:rPr>
          <w:rFonts w:ascii="Arial" w:cs="Arial" w:eastAsia="Arial" w:hAnsi="Arial"/>
          <w:i/>
          <w:iCs/>
          <w:color w:val="1A3C2E"/>
          <w:sz w:val="22"/>
          <w:szCs w:val="22"/>
        </w:rPr>
        <w:t xml:space="preserve">$MONO + cộng đồng nhà đầu tư + KOL program đang hoạt động.</w:t>
      </w:r>
    </w:p>
    <w:p>
      <w:pPr>
        <w:pStyle w:val="ListParagraph"/>
        <w:numPr>
          <w:ilvl w:val="0"/>
          <w:numId w:val="2"/>
        </w:numPr>
        <w:spacing w:after="0" w:before="40"/>
      </w:pPr>
      <w:r>
        <w:rPr>
          <w:rFonts w:ascii="Arial" w:cs="Arial" w:eastAsia="Arial" w:hAnsi="Arial"/>
          <w:sz w:val="22"/>
          <w:szCs w:val="22"/>
        </w:rPr>
        <w:t xml:space="preserve">Existing distribution: medium.com/@demonopolrwa, KOL network, Alpha Program.</w:t>
      </w:r>
    </w:p>
    <w:p>
      <w:pPr>
        <w:pStyle w:val="ListParagraph"/>
        <w:numPr>
          <w:ilvl w:val="1"/>
          <w:numId w:val="2"/>
        </w:numPr>
        <w:spacing w:after="80" w:before="0"/>
      </w:pPr>
      <w:r>
        <w:rPr>
          <w:rFonts w:ascii="Arial" w:cs="Arial" w:eastAsia="Arial" w:hAnsi="Arial"/>
          <w:i/>
          <w:iCs/>
          <w:color w:val="1A3C2E"/>
          <w:sz w:val="22"/>
          <w:szCs w:val="22"/>
        </w:rPr>
        <w:t xml:space="preserve">Kênh phân phối có sẵn: Medium, mạng KOL, Alpha Program.</w:t>
      </w:r>
    </w:p>
    <w:p>
      <w:pPr>
        <w:pStyle w:val="ListParagraph"/>
        <w:numPr>
          <w:ilvl w:val="0"/>
          <w:numId w:val="2"/>
        </w:numPr>
        <w:spacing w:after="0" w:before="40"/>
      </w:pPr>
      <w:r>
        <w:rPr>
          <w:rFonts w:ascii="Arial" w:cs="Arial" w:eastAsia="Arial" w:hAnsi="Arial"/>
          <w:sz w:val="22"/>
          <w:szCs w:val="22"/>
        </w:rPr>
        <w:t xml:space="preserve">Hanoi-based, bilingual EN/VN team — moat on SE Asian deal flow.</w:t>
      </w:r>
    </w:p>
    <w:p>
      <w:pPr>
        <w:pStyle w:val="ListParagraph"/>
        <w:numPr>
          <w:ilvl w:val="1"/>
          <w:numId w:val="2"/>
        </w:numPr>
        <w:spacing w:after="80" w:before="0"/>
      </w:pPr>
      <w:r>
        <w:rPr>
          <w:rFonts w:ascii="Arial" w:cs="Arial" w:eastAsia="Arial" w:hAnsi="Arial"/>
          <w:i/>
          <w:iCs/>
          <w:color w:val="1A3C2E"/>
          <w:sz w:val="22"/>
          <w:szCs w:val="22"/>
        </w:rPr>
        <w:t xml:space="preserve">Team tại Hà Nội, song ngữ EN/VN — lợi thế trên dòng deal Đông Nam Á.</w:t>
      </w:r>
    </w:p>
    <w:p>
      <w:pPr>
        <w:pStyle w:val="ListParagraph"/>
        <w:numPr>
          <w:ilvl w:val="0"/>
          <w:numId w:val="2"/>
        </w:numPr>
        <w:spacing w:after="0" w:before="40"/>
      </w:pPr>
      <w:r>
        <w:rPr>
          <w:rFonts w:ascii="Arial" w:cs="Arial" w:eastAsia="Arial" w:hAnsi="Arial"/>
          <w:sz w:val="22"/>
          <w:szCs w:val="22"/>
        </w:rPr>
        <w:t xml:space="preserve">Multi-asset support (real estate live, others on roadmap: invoices, IP, art, commodities, bonds).</w:t>
      </w:r>
    </w:p>
    <w:p>
      <w:pPr>
        <w:pStyle w:val="ListParagraph"/>
        <w:numPr>
          <w:ilvl w:val="1"/>
          <w:numId w:val="2"/>
        </w:numPr>
        <w:spacing w:after="80" w:before="0"/>
      </w:pPr>
      <w:r>
        <w:rPr>
          <w:rFonts w:ascii="Arial" w:cs="Arial" w:eastAsia="Arial" w:hAnsi="Arial"/>
          <w:i/>
          <w:iCs/>
          <w:color w:val="1A3C2E"/>
          <w:sz w:val="22"/>
          <w:szCs w:val="22"/>
        </w:rPr>
        <w:t xml:space="preserve">Hỗ trợ đa tài sản (BĐS đã live, các loại khác trong roadmap: hóa đơn, IP, nghệ thuật, hàng hóa, trái phiếu).</w:t>
      </w:r>
    </w:p>
    <w:p>
      <w:pPr>
        <w:pStyle w:val="Heading1"/>
        <w:spacing w:after="160" w:before="360"/>
      </w:pPr>
      <w:r>
        <w:rPr>
          <w:rFonts w:ascii="Arial" w:cs="Arial" w:eastAsia="Arial" w:hAnsi="Arial"/>
          <w:b/>
          <w:bCs/>
          <w:sz w:val="32"/>
          <w:szCs w:val="32"/>
        </w:rPr>
        <w:t xml:space="preserve">3. Market positioning</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3. Định vị thị trường</w:t>
      </w:r>
    </w:p>
    <w:p>
      <w:pPr>
        <w:pStyle w:val="Heading2"/>
        <w:spacing w:after="120" w:before="240"/>
      </w:pPr>
      <w:r>
        <w:rPr>
          <w:rFonts w:ascii="Arial" w:cs="Arial" w:eastAsia="Arial" w:hAnsi="Arial"/>
          <w:b/>
          <w:bCs/>
          <w:sz w:val="26"/>
          <w:szCs w:val="26"/>
        </w:rPr>
        <w:t xml:space="preserve">Market size (use as authority signals only — do not fabricate)</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Quy mô thị trường (chỉ dùng làm tín hiệu uy tín — không bịa số)</w:t>
      </w:r>
    </w:p>
    <w:p>
      <w:pPr>
        <w:pStyle w:val="ListParagraph"/>
        <w:numPr>
          <w:ilvl w:val="0"/>
          <w:numId w:val="2"/>
        </w:numPr>
        <w:spacing w:after="0" w:before="40"/>
      </w:pPr>
      <w:r>
        <w:rPr>
          <w:rFonts w:ascii="Arial" w:cs="Arial" w:eastAsia="Arial" w:hAnsi="Arial"/>
          <w:sz w:val="22"/>
          <w:szCs w:val="22"/>
        </w:rPr>
        <w:t xml:space="preserve">On-chain RWA cumulative originations: $33.66B by Nov 2025 (source: rwa.xyz, cited by InvestaX).</w:t>
      </w:r>
    </w:p>
    <w:p>
      <w:pPr>
        <w:pStyle w:val="ListParagraph"/>
        <w:numPr>
          <w:ilvl w:val="1"/>
          <w:numId w:val="2"/>
        </w:numPr>
        <w:spacing w:after="80" w:before="0"/>
      </w:pPr>
      <w:r>
        <w:rPr>
          <w:rFonts w:ascii="Arial" w:cs="Arial" w:eastAsia="Arial" w:hAnsi="Arial"/>
          <w:i/>
          <w:iCs/>
          <w:color w:val="1A3C2E"/>
          <w:sz w:val="22"/>
          <w:szCs w:val="22"/>
        </w:rPr>
        <w:t xml:space="preserve">Tổng giá trị RWA on-chain phát hành đến 11/2025: $33.66 tỷ (nguồn: rwa.xyz, dẫn theo InvestaX).</w:t>
      </w:r>
    </w:p>
    <w:p>
      <w:pPr>
        <w:pStyle w:val="ListParagraph"/>
        <w:numPr>
          <w:ilvl w:val="0"/>
          <w:numId w:val="2"/>
        </w:numPr>
        <w:spacing w:after="0" w:before="40"/>
      </w:pPr>
      <w:r>
        <w:rPr>
          <w:rFonts w:ascii="Arial" w:cs="Arial" w:eastAsia="Arial" w:hAnsi="Arial"/>
          <w:sz w:val="22"/>
          <w:szCs w:val="22"/>
        </w:rPr>
        <w:t xml:space="preserve">Active tokenized private credit alone: $18.91B+ (Nov 2025).</w:t>
      </w:r>
    </w:p>
    <w:p>
      <w:pPr>
        <w:pStyle w:val="ListParagraph"/>
        <w:numPr>
          <w:ilvl w:val="1"/>
          <w:numId w:val="2"/>
        </w:numPr>
        <w:spacing w:after="80" w:before="0"/>
      </w:pPr>
      <w:r>
        <w:rPr>
          <w:rFonts w:ascii="Arial" w:cs="Arial" w:eastAsia="Arial" w:hAnsi="Arial"/>
          <w:i/>
          <w:iCs/>
          <w:color w:val="1A3C2E"/>
          <w:sz w:val="22"/>
          <w:szCs w:val="22"/>
        </w:rPr>
        <w:t xml:space="preserve">Riêng private credit token hóa đang hoạt động: trên $18.91 tỷ (11/2025).</w:t>
      </w:r>
    </w:p>
    <w:p>
      <w:pPr>
        <w:pStyle w:val="ListParagraph"/>
        <w:numPr>
          <w:ilvl w:val="0"/>
          <w:numId w:val="2"/>
        </w:numPr>
        <w:spacing w:after="0" w:before="40"/>
      </w:pPr>
      <w:r>
        <w:rPr>
          <w:rFonts w:ascii="Arial" w:cs="Arial" w:eastAsia="Arial" w:hAnsi="Arial"/>
          <w:sz w:val="22"/>
          <w:szCs w:val="22"/>
        </w:rPr>
        <w:t xml:space="preserve">Forecast: $2T (McKinsey conservative) to $16–30T (BCG / Ripple) by 2030.</w:t>
      </w:r>
    </w:p>
    <w:p>
      <w:pPr>
        <w:pStyle w:val="ListParagraph"/>
        <w:numPr>
          <w:ilvl w:val="1"/>
          <w:numId w:val="2"/>
        </w:numPr>
        <w:spacing w:after="80" w:before="0"/>
      </w:pPr>
      <w:r>
        <w:rPr>
          <w:rFonts w:ascii="Arial" w:cs="Arial" w:eastAsia="Arial" w:hAnsi="Arial"/>
          <w:i/>
          <w:iCs/>
          <w:color w:val="1A3C2E"/>
          <w:sz w:val="22"/>
          <w:szCs w:val="22"/>
        </w:rPr>
        <w:t xml:space="preserve">Dự báo: $2 nghìn tỷ (McKinsey thấp) đến $16–30 nghìn tỷ (BCG / Ripple) đến năm 2030.</w:t>
      </w:r>
    </w:p>
    <w:p>
      <w:pPr>
        <w:pStyle w:val="ListParagraph"/>
        <w:numPr>
          <w:ilvl w:val="0"/>
          <w:numId w:val="2"/>
        </w:numPr>
        <w:spacing w:after="0" w:before="40"/>
      </w:pPr>
      <w:r>
        <w:rPr>
          <w:rFonts w:ascii="Arial" w:cs="Arial" w:eastAsia="Arial" w:hAnsi="Arial"/>
          <w:sz w:val="22"/>
          <w:szCs w:val="22"/>
        </w:rPr>
        <w:t xml:space="preserve">Real estate tokenization currently ~$20B; BCG projects $3.2T by 2030.</w:t>
      </w:r>
    </w:p>
    <w:p>
      <w:pPr>
        <w:pStyle w:val="ListParagraph"/>
        <w:numPr>
          <w:ilvl w:val="1"/>
          <w:numId w:val="2"/>
        </w:numPr>
        <w:spacing w:after="80" w:before="0"/>
      </w:pPr>
      <w:r>
        <w:rPr>
          <w:rFonts w:ascii="Arial" w:cs="Arial" w:eastAsia="Arial" w:hAnsi="Arial"/>
          <w:i/>
          <w:iCs/>
          <w:color w:val="1A3C2E"/>
          <w:sz w:val="22"/>
          <w:szCs w:val="22"/>
        </w:rPr>
        <w:t xml:space="preserve">Token hóa BĐS hiện ~$20 tỷ; BCG dự báo $3.2 nghìn tỷ vào 2030.</w:t>
      </w:r>
    </w:p>
    <w:p>
      <w:pPr>
        <w:pStyle w:val="ListParagraph"/>
        <w:numPr>
          <w:ilvl w:val="0"/>
          <w:numId w:val="2"/>
        </w:numPr>
        <w:spacing w:after="0" w:before="40"/>
      </w:pPr>
      <w:r>
        <w:rPr>
          <w:rFonts w:ascii="Arial" w:cs="Arial" w:eastAsia="Arial" w:hAnsi="Arial"/>
          <w:sz w:val="22"/>
          <w:szCs w:val="22"/>
        </w:rPr>
        <w:t xml:space="preserve">Note: numbers above are public benchmarks. Always cite source on the site. Never claim Demonopol-specific numbers that are not verified.</w:t>
      </w:r>
    </w:p>
    <w:p>
      <w:pPr>
        <w:pStyle w:val="ListParagraph"/>
        <w:numPr>
          <w:ilvl w:val="1"/>
          <w:numId w:val="2"/>
        </w:numPr>
        <w:spacing w:after="80" w:before="0"/>
      </w:pPr>
      <w:r>
        <w:rPr>
          <w:rFonts w:ascii="Arial" w:cs="Arial" w:eastAsia="Arial" w:hAnsi="Arial"/>
          <w:i/>
          <w:iCs/>
          <w:color w:val="1A3C2E"/>
          <w:sz w:val="22"/>
          <w:szCs w:val="22"/>
        </w:rPr>
        <w:t xml:space="preserve">Lưu ý: các con số trên là benchmark công khai. Luôn dẫn nguồn trên site. Không bao giờ nêu số liệu riêng của Demonopol khi chưa xác minh.</w:t>
      </w:r>
    </w:p>
    <w:p>
      <w:pPr>
        <w:pStyle w:val="Heading2"/>
        <w:spacing w:after="120" w:before="240"/>
      </w:pPr>
      <w:r>
        <w:rPr>
          <w:rFonts w:ascii="Arial" w:cs="Arial" w:eastAsia="Arial" w:hAnsi="Arial"/>
          <w:b/>
          <w:bCs/>
          <w:sz w:val="26"/>
          <w:szCs w:val="26"/>
        </w:rPr>
        <w:t xml:space="preserve">Competitive landscape</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Bối cảnh cạnh tranh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600"/>
        <w:gridCol w:w="2600"/>
      </w:tblGrid>
      <w:tr>
        <w:trPr>
          <w:tblHeader/>
        </w:trPr>
        <w:tc>
          <w:tcPr>
            <w:tcW w:type="dxa" w:w="2080"/>
            <w:tcBorders>
              <w:top w:val="single" w:color="CCCCCC" w:sz="4"/>
              <w:left w:val="single" w:color="CCCCCC" w:sz="4"/>
              <w:bottom w:val="single" w:color="CCCCCC" w:sz="4"/>
              <w:right w:val="single" w:color="CCCCCC" w:sz="4"/>
            </w:tcBorders>
            <w:shd w:fill="1A3C2E" w:val="clear"/>
            <w:tcMar>
              <w:top w:type="dxa" w:w="100"/>
              <w:left w:type="dxa" w:w="140"/>
              <w:bottom w:type="dxa" w:w="100"/>
              <w:right w:type="dxa" w:w="140"/>
            </w:tcMar>
          </w:tcPr>
          <w:p>
            <w:pPr>
              <w:spacing w:after="0" w:before="0"/>
            </w:pPr>
            <w:r>
              <w:rPr>
                <w:rFonts w:ascii="Arial" w:cs="Arial" w:eastAsia="Arial" w:hAnsi="Arial"/>
                <w:b/>
                <w:bCs/>
                <w:color w:val="F0EDE8"/>
                <w:sz w:val="20"/>
                <w:szCs w:val="20"/>
              </w:rPr>
              <w:t xml:space="preserve">Tier</w:t>
            </w:r>
          </w:p>
        </w:tc>
        <w:tc>
          <w:tcPr>
            <w:tcW w:type="dxa" w:w="2080"/>
            <w:tcBorders>
              <w:top w:val="single" w:color="CCCCCC" w:sz="4"/>
              <w:left w:val="single" w:color="CCCCCC" w:sz="4"/>
              <w:bottom w:val="single" w:color="CCCCCC" w:sz="4"/>
              <w:right w:val="single" w:color="CCCCCC" w:sz="4"/>
            </w:tcBorders>
            <w:shd w:fill="1A3C2E" w:val="clear"/>
            <w:tcMar>
              <w:top w:type="dxa" w:w="100"/>
              <w:left w:type="dxa" w:w="140"/>
              <w:bottom w:type="dxa" w:w="100"/>
              <w:right w:type="dxa" w:w="140"/>
            </w:tcMar>
          </w:tcPr>
          <w:p>
            <w:pPr>
              <w:spacing w:after="0" w:before="0"/>
            </w:pPr>
            <w:r>
              <w:rPr>
                <w:rFonts w:ascii="Arial" w:cs="Arial" w:eastAsia="Arial" w:hAnsi="Arial"/>
                <w:b/>
                <w:bCs/>
                <w:color w:val="F0EDE8"/>
                <w:sz w:val="20"/>
                <w:szCs w:val="20"/>
              </w:rPr>
              <w:t xml:space="preserve">Examples</w:t>
            </w:r>
          </w:p>
        </w:tc>
        <w:tc>
          <w:tcPr>
            <w:tcW w:type="dxa" w:w="2600"/>
            <w:tcBorders>
              <w:top w:val="single" w:color="CCCCCC" w:sz="4"/>
              <w:left w:val="single" w:color="CCCCCC" w:sz="4"/>
              <w:bottom w:val="single" w:color="CCCCCC" w:sz="4"/>
              <w:right w:val="single" w:color="CCCCCC" w:sz="4"/>
            </w:tcBorders>
            <w:shd w:fill="1A3C2E" w:val="clear"/>
            <w:tcMar>
              <w:top w:type="dxa" w:w="100"/>
              <w:left w:type="dxa" w:w="140"/>
              <w:bottom w:type="dxa" w:w="100"/>
              <w:right w:type="dxa" w:w="140"/>
            </w:tcMar>
          </w:tcPr>
          <w:p>
            <w:pPr>
              <w:spacing w:after="0" w:before="0"/>
            </w:pPr>
            <w:r>
              <w:rPr>
                <w:rFonts w:ascii="Arial" w:cs="Arial" w:eastAsia="Arial" w:hAnsi="Arial"/>
                <w:b/>
                <w:bCs/>
                <w:color w:val="F0EDE8"/>
                <w:sz w:val="20"/>
                <w:szCs w:val="20"/>
              </w:rPr>
              <w:t xml:space="preserve">Typical price</w:t>
            </w:r>
          </w:p>
        </w:tc>
        <w:tc>
          <w:tcPr>
            <w:tcW w:type="dxa" w:w="2600"/>
            <w:tcBorders>
              <w:top w:val="single" w:color="CCCCCC" w:sz="4"/>
              <w:left w:val="single" w:color="CCCCCC" w:sz="4"/>
              <w:bottom w:val="single" w:color="CCCCCC" w:sz="4"/>
              <w:right w:val="single" w:color="CCCCCC" w:sz="4"/>
            </w:tcBorders>
            <w:shd w:fill="1A3C2E" w:val="clear"/>
            <w:tcMar>
              <w:top w:type="dxa" w:w="100"/>
              <w:left w:type="dxa" w:w="140"/>
              <w:bottom w:type="dxa" w:w="100"/>
              <w:right w:type="dxa" w:w="140"/>
            </w:tcMar>
          </w:tcPr>
          <w:p>
            <w:pPr>
              <w:spacing w:after="0" w:before="0"/>
            </w:pPr>
            <w:r>
              <w:rPr>
                <w:rFonts w:ascii="Arial" w:cs="Arial" w:eastAsia="Arial" w:hAnsi="Arial"/>
                <w:b/>
                <w:bCs/>
                <w:color w:val="F0EDE8"/>
                <w:sz w:val="20"/>
                <w:szCs w:val="20"/>
              </w:rPr>
              <w:t xml:space="preserve">Demonopol angle</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Institutional</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Securitize, Ondo, Tokeny, InvestaX, ADDX</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Legal-only $5K–$50K; full build $50K–$3M+</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Not our fight. We refer up if needed.</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Dev shops</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Antier, Blockchain App Factory, Unicsoft</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MVP $40K–$75K; custom $500K+</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We have the protocol — no need to rebuild.</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DIY templated</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Brickken (BNB Chain), no-code launchers</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Low / gas only</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Cheap but no guidance, no liquidity, no community.</w:t>
            </w:r>
          </w:p>
        </w:tc>
      </w:tr>
      <w:tr>
        <w:tc>
          <w:tcPr>
            <w:tcW w:type="dxa" w:w="2080"/>
            <w:tcBorders>
              <w:top w:val="single" w:color="CCCCCC" w:sz="4"/>
              <w:left w:val="single" w:color="CCCCCC" w:sz="4"/>
              <w:bottom w:val="single" w:color="CCCCCC" w:sz="4"/>
              <w:right w:val="single" w:color="CCCCCC" w:sz="4"/>
            </w:tcBorders>
            <w:shd w:fill="F0EDE8" w:val="clear"/>
            <w:tcMar>
              <w:top w:type="dxa" w:w="100"/>
              <w:left w:type="dxa" w:w="140"/>
              <w:bottom w:type="dxa" w:w="100"/>
              <w:right w:type="dxa" w:w="140"/>
            </w:tcMar>
          </w:tcPr>
          <w:p>
            <w:pPr>
              <w:spacing w:after="0" w:before="0"/>
            </w:pPr>
            <w:r>
              <w:rPr>
                <w:rFonts w:ascii="Arial" w:cs="Arial" w:eastAsia="Arial" w:hAnsi="Arial"/>
                <w:b/>
                <w:bCs/>
                <w:sz w:val="20"/>
                <w:szCs w:val="20"/>
              </w:rPr>
              <w:t xml:space="preserve">Demonopol TaaS</w:t>
            </w:r>
          </w:p>
        </w:tc>
        <w:tc>
          <w:tcPr>
            <w:tcW w:type="dxa" w:w="2080"/>
            <w:tcBorders>
              <w:top w:val="single" w:color="CCCCCC" w:sz="4"/>
              <w:left w:val="single" w:color="CCCCCC" w:sz="4"/>
              <w:bottom w:val="single" w:color="CCCCCC" w:sz="4"/>
              <w:right w:val="single" w:color="CCCCCC" w:sz="4"/>
            </w:tcBorders>
            <w:shd w:fill="F0EDE8" w:val="clear"/>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(the gap)</w:t>
            </w:r>
          </w:p>
        </w:tc>
        <w:tc>
          <w:tcPr>
            <w:tcW w:type="dxa" w:w="2600"/>
            <w:tcBorders>
              <w:top w:val="single" w:color="CCCCCC" w:sz="4"/>
              <w:left w:val="single" w:color="CCCCCC" w:sz="4"/>
              <w:bottom w:val="single" w:color="CCCCCC" w:sz="4"/>
              <w:right w:val="single" w:color="CCCCCC" w:sz="4"/>
            </w:tcBorders>
            <w:shd w:fill="F0EDE8" w:val="clear"/>
            <w:tcMar>
              <w:top w:type="dxa" w:w="100"/>
              <w:left w:type="dxa" w:w="140"/>
              <w:bottom w:type="dxa" w:w="100"/>
              <w:right w:type="dxa" w:w="140"/>
            </w:tcMar>
          </w:tcPr>
          <w:p>
            <w:pPr>
              <w:spacing w:after="0" w:before="0"/>
            </w:pPr>
            <w:r>
              <w:rPr>
                <w:rFonts w:ascii="Arial" w:cs="Arial" w:eastAsia="Arial" w:hAnsi="Arial"/>
                <w:b/>
                <w:bCs/>
                <w:sz w:val="20"/>
                <w:szCs w:val="20"/>
              </w:rPr>
              <w:t xml:space="preserve">Free / $200 / $400 / Mandate / Success fee</w:t>
            </w:r>
          </w:p>
        </w:tc>
        <w:tc>
          <w:tcPr>
            <w:tcW w:type="dxa" w:w="2600"/>
            <w:tcBorders>
              <w:top w:val="single" w:color="CCCCCC" w:sz="4"/>
              <w:left w:val="single" w:color="CCCCCC" w:sz="4"/>
              <w:bottom w:val="single" w:color="CCCCCC" w:sz="4"/>
              <w:right w:val="single" w:color="CCCCCC" w:sz="4"/>
            </w:tcBorders>
            <w:shd w:fill="F0EDE8" w:val="clear"/>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Advisory + execution + community + liquidity, in EN/VN.</w:t>
            </w:r>
          </w:p>
        </w:tc>
      </w:tr>
    </w:tbl>
    <w:p>
      <w:pPr>
        <w:spacing w:after="80" w:before="80"/>
      </w:pPr>
      <w:r>
        <w:t xml:space="preserve"/>
      </w:r>
    </w:p>
    <w:p>
      <w:pPr>
        <w:pStyle w:val="Heading2"/>
        <w:spacing w:after="120" w:before="240"/>
      </w:pPr>
      <w:r>
        <w:rPr>
          <w:rFonts w:ascii="Arial" w:cs="Arial" w:eastAsia="Arial" w:hAnsi="Arial"/>
          <w:b/>
          <w:bCs/>
          <w:sz w:val="26"/>
          <w:szCs w:val="26"/>
        </w:rPr>
        <w:t xml:space="preserve">Positioning statement (one-line, both languages)</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Định vị (một câu, cả hai ngôn ngữ)</w:t>
      </w:r>
    </w:p>
    <w:p>
      <w:pPr>
        <w:pBdr>
          <w:left w:val="single" w:color="C9A96E" w:sz="24" w:space="8"/>
        </w:pBdr>
        <w:shd w:fill="F0EDE8" w:val="clear"/>
        <w:spacing w:after="120" w:before="120"/>
      </w:pPr>
      <w:r>
        <w:rPr>
          <w:rFonts w:ascii="Arial" w:cs="Arial" w:eastAsia="Arial" w:hAnsi="Arial"/>
          <w:i/>
          <w:iCs/>
          <w:sz w:val="24"/>
          <w:szCs w:val="24"/>
        </w:rPr>
        <w:t xml:space="preserve">EN: "Tokenize what you own. Distribute to who matters. Without the seven-figure quote." </w:t>
      </w:r>
    </w:p>
    <w:p>
      <w:pPr>
        <w:pBdr>
          <w:left w:val="single" w:color="C9A96E" w:sz="24" w:space="8"/>
        </w:pBdr>
        <w:shd w:fill="F0EDE8" w:val="clear"/>
        <w:spacing w:after="240" w:before="120"/>
      </w:pPr>
      <w:r>
        <w:rPr>
          <w:rFonts w:ascii="Arial" w:cs="Arial" w:eastAsia="Arial" w:hAnsi="Arial"/>
          <w:i/>
          <w:iCs/>
          <w:color w:val="1A3C2E"/>
          <w:sz w:val="24"/>
          <w:szCs w:val="24"/>
        </w:rPr>
        <w:t xml:space="preserve">VN: "Token hóa tài sản của bạn. Tiếp cận đúng nhà đầu tư. Không cần báo giá bảy con số."</w:t>
      </w:r>
    </w:p>
    <w:p>
      <w:pPr>
        <w:pStyle w:val="Heading1"/>
        <w:spacing w:after="160" w:before="360"/>
      </w:pPr>
      <w:r>
        <w:rPr>
          <w:rFonts w:ascii="Arial" w:cs="Arial" w:eastAsia="Arial" w:hAnsi="Arial"/>
          <w:b/>
          <w:bCs/>
          <w:sz w:val="32"/>
          <w:szCs w:val="32"/>
        </w:rPr>
        <w:t xml:space="preserve">4. Service ladder &amp; pricing</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4. Bậc thang dịch vụ &amp; giá</w:t>
      </w:r>
    </w:p>
    <w:p>
      <w:pPr>
        <w:spacing w:after="0" w:before="60"/>
      </w:pPr>
      <w:r>
        <w:rPr>
          <w:rFonts w:ascii="Arial" w:cs="Arial" w:eastAsia="Arial" w:hAnsi="Arial"/>
          <w:sz w:val="22"/>
          <w:szCs w:val="22"/>
        </w:rPr>
        <w:t xml:space="preserve">Five tiers, designed to convert downward into mandate revenue. The $400 and $200 tiers are on-ramp products — they exist to qualify, anchor expertise, and make the mandate decision easy.</w:t>
      </w:r>
    </w:p>
    <w:p>
      <w:pPr>
        <w:spacing w:after="120" w:before="0"/>
      </w:pPr>
      <w:r>
        <w:rPr>
          <w:rFonts w:ascii="Arial" w:cs="Arial" w:eastAsia="Arial" w:hAnsi="Arial"/>
          <w:i/>
          <w:iCs/>
          <w:color w:val="1A3C2E"/>
          <w:sz w:val="22"/>
          <w:szCs w:val="22"/>
        </w:rPr>
        <w:t xml:space="preserve">Năm tầng, thiết kế để chuyển đổi xuống mandate doanh thu lớn. Hai tầng $400 và $200 là sản phẩm "on-ramp" — tồn tại để sàng lọc, neo uy tín chuyên gia và làm quyết định mandate trở nên dễ dàng.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1560"/>
            <w:tcBorders>
              <w:top w:val="single" w:color="CCCCCC" w:sz="4"/>
              <w:left w:val="single" w:color="CCCCCC" w:sz="4"/>
              <w:bottom w:val="single" w:color="CCCCCC" w:sz="4"/>
              <w:right w:val="single" w:color="CCCCCC" w:sz="4"/>
            </w:tcBorders>
            <w:shd w:fill="2B2D2F" w:val="clear"/>
            <w:tcMar>
              <w:top w:type="dxa" w:w="100"/>
              <w:left w:type="dxa" w:w="140"/>
              <w:bottom w:type="dxa" w:w="100"/>
              <w:right w:type="dxa" w:w="140"/>
            </w:tcMar>
          </w:tcPr>
          <w:p>
            <w:pPr>
              <w:spacing w:after="0" w:before="0"/>
            </w:pPr>
            <w:r>
              <w:rPr>
                <w:rFonts w:ascii="Arial" w:cs="Arial" w:eastAsia="Arial" w:hAnsi="Arial"/>
                <w:b/>
                <w:bCs/>
                <w:color w:val="F0EDE8"/>
                <w:sz w:val="20"/>
                <w:szCs w:val="20"/>
              </w:rPr>
              <w:t xml:space="preserve">Tier / Tầng</w:t>
            </w:r>
          </w:p>
        </w:tc>
        <w:tc>
          <w:tcPr>
            <w:tcW w:type="dxa" w:w="1560"/>
            <w:tcBorders>
              <w:top w:val="single" w:color="CCCCCC" w:sz="4"/>
              <w:left w:val="single" w:color="CCCCCC" w:sz="4"/>
              <w:bottom w:val="single" w:color="CCCCCC" w:sz="4"/>
              <w:right w:val="single" w:color="CCCCCC" w:sz="4"/>
            </w:tcBorders>
            <w:shd w:fill="2B2D2F" w:val="clear"/>
            <w:tcMar>
              <w:top w:type="dxa" w:w="100"/>
              <w:left w:type="dxa" w:w="140"/>
              <w:bottom w:type="dxa" w:w="100"/>
              <w:right w:type="dxa" w:w="140"/>
            </w:tcMar>
          </w:tcPr>
          <w:p>
            <w:pPr>
              <w:spacing w:after="0" w:before="0"/>
            </w:pPr>
            <w:r>
              <w:rPr>
                <w:rFonts w:ascii="Arial" w:cs="Arial" w:eastAsia="Arial" w:hAnsi="Arial"/>
                <w:b/>
                <w:bCs/>
                <w:color w:val="F0EDE8"/>
                <w:sz w:val="20"/>
                <w:szCs w:val="20"/>
              </w:rPr>
              <w:t xml:space="preserve">Price / Giá</w:t>
            </w:r>
          </w:p>
        </w:tc>
        <w:tc>
          <w:tcPr>
            <w:tcW w:type="dxa" w:w="3120"/>
            <w:tcBorders>
              <w:top w:val="single" w:color="CCCCCC" w:sz="4"/>
              <w:left w:val="single" w:color="CCCCCC" w:sz="4"/>
              <w:bottom w:val="single" w:color="CCCCCC" w:sz="4"/>
              <w:right w:val="single" w:color="CCCCCC" w:sz="4"/>
            </w:tcBorders>
            <w:shd w:fill="2B2D2F" w:val="clear"/>
            <w:tcMar>
              <w:top w:type="dxa" w:w="100"/>
              <w:left w:type="dxa" w:w="140"/>
              <w:bottom w:type="dxa" w:w="100"/>
              <w:right w:type="dxa" w:w="140"/>
            </w:tcMar>
          </w:tcPr>
          <w:p>
            <w:pPr>
              <w:spacing w:after="0" w:before="0"/>
            </w:pPr>
            <w:r>
              <w:rPr>
                <w:rFonts w:ascii="Arial" w:cs="Arial" w:eastAsia="Arial" w:hAnsi="Arial"/>
                <w:b/>
                <w:bCs/>
                <w:color w:val="F0EDE8"/>
                <w:sz w:val="20"/>
                <w:szCs w:val="20"/>
              </w:rPr>
              <w:t xml:space="preserve">What client gets / Khách nhận gì</w:t>
            </w:r>
          </w:p>
        </w:tc>
        <w:tc>
          <w:tcPr>
            <w:tcW w:type="dxa" w:w="3120"/>
            <w:tcBorders>
              <w:top w:val="single" w:color="CCCCCC" w:sz="4"/>
              <w:left w:val="single" w:color="CCCCCC" w:sz="4"/>
              <w:bottom w:val="single" w:color="CCCCCC" w:sz="4"/>
              <w:right w:val="single" w:color="CCCCCC" w:sz="4"/>
            </w:tcBorders>
            <w:shd w:fill="2B2D2F" w:val="clear"/>
            <w:tcMar>
              <w:top w:type="dxa" w:w="100"/>
              <w:left w:type="dxa" w:w="140"/>
              <w:bottom w:type="dxa" w:w="100"/>
              <w:right w:type="dxa" w:w="140"/>
            </w:tcMar>
          </w:tcPr>
          <w:p>
            <w:pPr>
              <w:spacing w:after="0" w:before="0"/>
            </w:pPr>
            <w:r>
              <w:rPr>
                <w:rFonts w:ascii="Arial" w:cs="Arial" w:eastAsia="Arial" w:hAnsi="Arial"/>
                <w:b/>
                <w:bCs/>
                <w:color w:val="F0EDE8"/>
                <w:sz w:val="20"/>
                <w:szCs w:val="20"/>
              </w:rPr>
              <w:t xml:space="preserve">Purpose / Mục đích</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bCs/>
                <w:sz w:val="20"/>
                <w:szCs w:val="20"/>
              </w:rPr>
              <w:t xml:space="preserve">Self-Check</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Free / Miễn phí</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Auto-generated 1-page preliminary feasibility report after intake form. AI-assisted, templated. EN/VN.
Báo cáo khả thi sơ bộ 1 trang sinh tự động sau intake form. AI hỗ trợ, theo template. EN/VN.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Filter tire-kickers; capture qualified emails; build top-of-funnel SEO content.
Lọc người không nghiêm túc; thu email chất lượng; tạo content SEO đầu phễu.</w:t>
            </w:r>
          </w:p>
        </w:tc>
      </w:tr>
      <w:tr>
        <w:tc>
          <w:tcPr>
            <w:tcW w:type="dxa" w:w="1560"/>
            <w:tcBorders>
              <w:top w:val="single" w:color="CCCCCC" w:sz="4"/>
              <w:left w:val="single" w:color="CCCCCC" w:sz="4"/>
              <w:bottom w:val="single" w:color="CCCCCC" w:sz="4"/>
              <w:right w:val="single" w:color="CCCCCC" w:sz="4"/>
            </w:tcBorders>
            <w:shd w:fill="F0EDE8" w:val="clear"/>
            <w:tcMar>
              <w:top w:type="dxa" w:w="100"/>
              <w:left w:type="dxa" w:w="140"/>
              <w:bottom w:type="dxa" w:w="100"/>
              <w:right w:type="dxa" w:w="140"/>
            </w:tcMar>
          </w:tcPr>
          <w:p>
            <w:pPr>
              <w:spacing w:after="0" w:before="0"/>
            </w:pPr>
            <w:r>
              <w:rPr>
                <w:rFonts w:ascii="Arial" w:cs="Arial" w:eastAsia="Arial" w:hAnsi="Arial"/>
                <w:b/>
                <w:bCs/>
                <w:sz w:val="20"/>
                <w:szCs w:val="20"/>
              </w:rPr>
              <w:t xml:space="preserve">Diagnostic</w:t>
            </w:r>
          </w:p>
        </w:tc>
        <w:tc>
          <w:tcPr>
            <w:tcW w:type="dxa" w:w="1560"/>
            <w:tcBorders>
              <w:top w:val="single" w:color="CCCCCC" w:sz="4"/>
              <w:left w:val="single" w:color="CCCCCC" w:sz="4"/>
              <w:bottom w:val="single" w:color="CCCCCC" w:sz="4"/>
              <w:right w:val="single" w:color="CCCCCC" w:sz="4"/>
            </w:tcBorders>
            <w:shd w:fill="F0EDE8" w:val="clear"/>
            <w:tcMar>
              <w:top w:type="dxa" w:w="100"/>
              <w:left w:type="dxa" w:w="140"/>
              <w:bottom w:type="dxa" w:w="100"/>
              <w:right w:type="dxa" w:w="140"/>
            </w:tcMar>
          </w:tcPr>
          <w:p>
            <w:pPr>
              <w:spacing w:after="0" w:before="0"/>
            </w:pPr>
            <w:r>
              <w:rPr>
                <w:rFonts w:ascii="Arial" w:cs="Arial" w:eastAsia="Arial" w:hAnsi="Arial"/>
                <w:b/>
                <w:bCs/>
                <w:sz w:val="20"/>
                <w:szCs w:val="20"/>
              </w:rPr>
              <w:t xml:space="preserve">$400 USD</w:t>
            </w:r>
          </w:p>
        </w:tc>
        <w:tc>
          <w:tcPr>
            <w:tcW w:type="dxa" w:w="3120"/>
            <w:tcBorders>
              <w:top w:val="single" w:color="CCCCCC" w:sz="4"/>
              <w:left w:val="single" w:color="CCCCCC" w:sz="4"/>
              <w:bottom w:val="single" w:color="CCCCCC" w:sz="4"/>
              <w:right w:val="single" w:color="CCCCCC" w:sz="4"/>
            </w:tcBorders>
            <w:shd w:fill="F0EDE8" w:val="clear"/>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60–90 min expert call (Guillaume or analyst) + bilingual 6–8 page report: asset suitability, jurisdiction analysis, recommended legal structure (SPV/fund/direct), token standard, full cost &amp; timeline estimate, regulatory flags, recommended path. Delivered in 5 working days.
Cuộc gọi chuyên gia 60–90 phút (Guillaume hoặc analyst) + báo cáo song ngữ 6–8 trang: đánh giá tài sản, phân tích pháp lý, cấu trúc đề xuất (SPV/quỹ/trực tiếp), chuẩn token, ước tính chi phí và timeline đầy đủ, cảnh báo pháp lý, lộ trình đề xuất. Giao trong 5 ngày làm việc.</w:t>
            </w:r>
          </w:p>
        </w:tc>
        <w:tc>
          <w:tcPr>
            <w:tcW w:type="dxa" w:w="3120"/>
            <w:tcBorders>
              <w:top w:val="single" w:color="CCCCCC" w:sz="4"/>
              <w:left w:val="single" w:color="CCCCCC" w:sz="4"/>
              <w:bottom w:val="single" w:color="CCCCCC" w:sz="4"/>
              <w:right w:val="single" w:color="CCCCCC" w:sz="4"/>
            </w:tcBorders>
            <w:shd w:fill="F0EDE8" w:val="clear"/>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Productize advisory; anchor expertise; create written deliverable client can show partners; warm into mandate.
Sản phẩm hóa tư vấn; neo uy tín; tạo tài liệu khách có thể trình đối tác; làm nóng cho mandate.</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bCs/>
                <w:sz w:val="20"/>
                <w:szCs w:val="20"/>
              </w:rPr>
              <w:t xml:space="preserve">Promotion Boost</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$200 USD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Listing copy preparation (EN/VN), 1 Medium article on demonopolrwa, 1 KOL network push, 1 community announcement, 1 newsletter slot. Add-on; not standalone.
Viết nội dung listing (EN/VN), 1 bài Medium trên demonopolrwa, 1 đợt push KOL, 1 thông báo cộng đồng, 1 lượt newsletter. Là add-on, không bán riêng.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Monetize existing distribution; give Diagnostic clients a clean go-live button.
Kiếm tiền từ kênh phân phối có sẵn; cho khách Diagnostic nút go-live sạch.</w:t>
            </w:r>
          </w:p>
        </w:tc>
      </w:tr>
      <w:tr>
        <w:tc>
          <w:tcPr>
            <w:tcW w:type="dxa" w:w="1560"/>
            <w:tcBorders>
              <w:top w:val="single" w:color="CCCCCC" w:sz="4"/>
              <w:left w:val="single" w:color="CCCCCC" w:sz="4"/>
              <w:bottom w:val="single" w:color="CCCCCC" w:sz="4"/>
              <w:right w:val="single" w:color="CCCCCC" w:sz="4"/>
            </w:tcBorders>
            <w:shd w:fill="F0EDE8" w:val="clear"/>
            <w:tcMar>
              <w:top w:type="dxa" w:w="100"/>
              <w:left w:type="dxa" w:w="140"/>
              <w:bottom w:type="dxa" w:w="100"/>
              <w:right w:type="dxa" w:w="140"/>
            </w:tcMar>
          </w:tcPr>
          <w:p>
            <w:pPr>
              <w:spacing w:after="0" w:before="0"/>
            </w:pPr>
            <w:r>
              <w:rPr>
                <w:rFonts w:ascii="Arial" w:cs="Arial" w:eastAsia="Arial" w:hAnsi="Arial"/>
                <w:b/>
                <w:bCs/>
                <w:sz w:val="20"/>
                <w:szCs w:val="20"/>
              </w:rPr>
              <w:t xml:space="preserve">Mandate</w:t>
            </w:r>
          </w:p>
        </w:tc>
        <w:tc>
          <w:tcPr>
            <w:tcW w:type="dxa" w:w="1560"/>
            <w:tcBorders>
              <w:top w:val="single" w:color="CCCCCC" w:sz="4"/>
              <w:left w:val="single" w:color="CCCCCC" w:sz="4"/>
              <w:bottom w:val="single" w:color="CCCCCC" w:sz="4"/>
              <w:right w:val="single" w:color="CCCCCC" w:sz="4"/>
            </w:tcBorders>
            <w:shd w:fill="F0EDE8" w:val="clear"/>
            <w:tcMar>
              <w:top w:type="dxa" w:w="100"/>
              <w:left w:type="dxa" w:w="140"/>
              <w:bottom w:type="dxa" w:w="100"/>
              <w:right w:type="dxa" w:w="140"/>
            </w:tcMar>
          </w:tcPr>
          <w:p>
            <w:pPr>
              <w:spacing w:after="0" w:before="0"/>
            </w:pPr>
            <w:r>
              <w:rPr>
                <w:rFonts w:ascii="Arial" w:cs="Arial" w:eastAsia="Arial" w:hAnsi="Arial"/>
                <w:b/>
                <w:bCs/>
                <w:sz w:val="20"/>
                <w:szCs w:val="20"/>
              </w:rPr>
              <w:t xml:space="preserve">Custom (5K–50K+)</w:t>
            </w:r>
          </w:p>
        </w:tc>
        <w:tc>
          <w:tcPr>
            <w:tcW w:type="dxa" w:w="3120"/>
            <w:tcBorders>
              <w:top w:val="single" w:color="CCCCCC" w:sz="4"/>
              <w:left w:val="single" w:color="CCCCCC" w:sz="4"/>
              <w:bottom w:val="single" w:color="CCCCCC" w:sz="4"/>
              <w:right w:val="single" w:color="CCCCCC" w:sz="4"/>
            </w:tcBorders>
            <w:shd w:fill="F0EDE8" w:val="clear"/>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Full execution: SPV setup intro (legal partner referral), smart contract on Demonopol Tokenization Protocol, KYC/AML wiring, listing on launchpad, investor onboarding pipeline.
Thực thi đầy đủ: giới thiệu thành lập SPV (đối tác pháp lý), smart contract trên Tokenization Protocol, KYC/AML, listing trên launchpad, pipeline onboarding nhà đầu tư.</w:t>
            </w:r>
          </w:p>
        </w:tc>
        <w:tc>
          <w:tcPr>
            <w:tcW w:type="dxa" w:w="3120"/>
            <w:tcBorders>
              <w:top w:val="single" w:color="CCCCCC" w:sz="4"/>
              <w:left w:val="single" w:color="CCCCCC" w:sz="4"/>
              <w:bottom w:val="single" w:color="CCCCCC" w:sz="4"/>
              <w:right w:val="single" w:color="CCCCCC" w:sz="4"/>
            </w:tcBorders>
            <w:shd w:fill="F0EDE8" w:val="clear"/>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Real revenue tier. Quoted only after Diagnostic.
Tầng doanh thu thực. Chỉ báo giá sau Diagnostic.</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bCs/>
                <w:sz w:val="20"/>
                <w:szCs w:val="20"/>
              </w:rPr>
              <w:t xml:space="preserve">Success fee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1–3 % of raise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Percentage of capital raised through Demonopol launchpad. Aligned-incentive layer on top of mandate.
Phần trăm vốn huy động qua launchpad Demonopol. Lớp incentive đồng hướng trên mandate.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Recurring upside; signals confidence to issuer.
Upside định kỳ; thể hiện cam kết với issuer.</w:t>
            </w:r>
          </w:p>
        </w:tc>
      </w:tr>
    </w:tbl>
    <w:p>
      <w:pPr>
        <w:spacing w:after="80" w:before="80"/>
      </w:pPr>
      <w:r>
        <w:t xml:space="preserve"/>
      </w:r>
    </w:p>
    <w:p>
      <w:pPr>
        <w:pStyle w:val="Heading2"/>
        <w:spacing w:after="120" w:before="240"/>
      </w:pPr>
      <w:r>
        <w:rPr>
          <w:rFonts w:ascii="Arial" w:cs="Arial" w:eastAsia="Arial" w:hAnsi="Arial"/>
          <w:b/>
          <w:bCs/>
          <w:sz w:val="26"/>
          <w:szCs w:val="26"/>
        </w:rPr>
        <w:t xml:space="preserve">Pricing rationale (do not put this on the public site)</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Lý do định giá (không công khai trên site)</w:t>
      </w:r>
    </w:p>
    <w:p>
      <w:pPr>
        <w:pStyle w:val="ListParagraph"/>
        <w:numPr>
          <w:ilvl w:val="0"/>
          <w:numId w:val="2"/>
        </w:numPr>
        <w:spacing w:after="0" w:before="40"/>
      </w:pPr>
      <w:r>
        <w:rPr>
          <w:rFonts w:ascii="Arial" w:cs="Arial" w:eastAsia="Arial" w:hAnsi="Arial"/>
          <w:sz w:val="22"/>
          <w:szCs w:val="22"/>
        </w:rPr>
        <w:t xml:space="preserve">$400 is consciously below market for tokenization advisory. Market floor for legal-only is $5K–$50K. Our edge: productized scope, AI-assisted, templated. The price is calibrated to be (a) cheap enough to be a no-brainer for a serious owner of a $50K+ asset, (b) expensive enough that leechers will not pay.</w:t>
      </w:r>
    </w:p>
    <w:p>
      <w:pPr>
        <w:pStyle w:val="ListParagraph"/>
        <w:numPr>
          <w:ilvl w:val="1"/>
          <w:numId w:val="2"/>
        </w:numPr>
        <w:spacing w:after="80" w:before="0"/>
      </w:pPr>
      <w:r>
        <w:rPr>
          <w:rFonts w:ascii="Arial" w:cs="Arial" w:eastAsia="Arial" w:hAnsi="Arial"/>
          <w:i/>
          <w:iCs/>
          <w:color w:val="1A3C2E"/>
          <w:sz w:val="22"/>
          <w:szCs w:val="22"/>
        </w:rPr>
        <w:t xml:space="preserve">$400 là cố tình thấp hơn thị trường tư vấn tokenization. Mức sàn pháp lý đơn thuần là $5K–$50K. Lợi thế: phạm vi sản phẩm hóa, AI hỗ trợ, theo template. Giá được hiệu chỉnh để (a) đủ rẻ để chủ tài sản $50K+ "chốt không cần nghĩ", (b) đủ đắt để người không nghiêm túc không trả.</w:t>
      </w:r>
    </w:p>
    <w:p>
      <w:pPr>
        <w:pStyle w:val="ListParagraph"/>
        <w:numPr>
          <w:ilvl w:val="0"/>
          <w:numId w:val="2"/>
        </w:numPr>
        <w:spacing w:after="0" w:before="40"/>
      </w:pPr>
      <w:r>
        <w:rPr>
          <w:rFonts w:ascii="Arial" w:cs="Arial" w:eastAsia="Arial" w:hAnsi="Arial"/>
          <w:sz w:val="22"/>
          <w:szCs w:val="22"/>
        </w:rPr>
        <w:t xml:space="preserve">$200 promotion is a pure margin add-on against existing distribution we already own. Marginal cost is one analyst-hour to write, one Medium post, one community push.</w:t>
      </w:r>
    </w:p>
    <w:p>
      <w:pPr>
        <w:pStyle w:val="ListParagraph"/>
        <w:numPr>
          <w:ilvl w:val="1"/>
          <w:numId w:val="2"/>
        </w:numPr>
        <w:spacing w:after="80" w:before="0"/>
      </w:pPr>
      <w:r>
        <w:rPr>
          <w:rFonts w:ascii="Arial" w:cs="Arial" w:eastAsia="Arial" w:hAnsi="Arial"/>
          <w:i/>
          <w:iCs/>
          <w:color w:val="1A3C2E"/>
          <w:sz w:val="22"/>
          <w:szCs w:val="22"/>
        </w:rPr>
        <w:t xml:space="preserve">$200 promotion là add-on margin cao trên kênh phân phối ta đã sở hữu. Chi phí biên là 1 giờ analyst viết, 1 bài Medium, 1 lần đẩy cộng đồng.</w:t>
      </w:r>
    </w:p>
    <w:p>
      <w:pPr>
        <w:pStyle w:val="ListParagraph"/>
        <w:numPr>
          <w:ilvl w:val="0"/>
          <w:numId w:val="2"/>
        </w:numPr>
        <w:spacing w:after="0" w:before="40"/>
      </w:pPr>
      <w:r>
        <w:rPr>
          <w:rFonts w:ascii="Arial" w:cs="Arial" w:eastAsia="Arial" w:hAnsi="Arial"/>
          <w:sz w:val="22"/>
          <w:szCs w:val="22"/>
        </w:rPr>
        <w:t xml:space="preserve">Free Self-Check exists ONLY to filter and capture leads. The intake form is the moat — see Section 6.</w:t>
      </w:r>
    </w:p>
    <w:p>
      <w:pPr>
        <w:pStyle w:val="ListParagraph"/>
        <w:numPr>
          <w:ilvl w:val="1"/>
          <w:numId w:val="2"/>
        </w:numPr>
        <w:spacing w:after="80" w:before="0"/>
      </w:pPr>
      <w:r>
        <w:rPr>
          <w:rFonts w:ascii="Arial" w:cs="Arial" w:eastAsia="Arial" w:hAnsi="Arial"/>
          <w:i/>
          <w:iCs/>
          <w:color w:val="1A3C2E"/>
          <w:sz w:val="22"/>
          <w:szCs w:val="22"/>
        </w:rPr>
        <w:t xml:space="preserve">Self-Check Miễn phí TỒN TẠI CHỈ ĐỂ lọc và thu lead. Intake form chính là "moat" — xem Mục 6.</w:t>
      </w:r>
    </w:p>
    <w:p>
      <w:pPr>
        <w:pStyle w:val="ListParagraph"/>
        <w:numPr>
          <w:ilvl w:val="0"/>
          <w:numId w:val="2"/>
        </w:numPr>
        <w:spacing w:after="0" w:before="40"/>
      </w:pPr>
      <w:r>
        <w:rPr>
          <w:rFonts w:ascii="Arial" w:cs="Arial" w:eastAsia="Arial" w:hAnsi="Arial"/>
          <w:sz w:val="22"/>
          <w:szCs w:val="22"/>
        </w:rPr>
        <w:t xml:space="preserve">Mandate is custom-priced after Diagnostic. Reference internal range: $5K–$50K depending on jurisdiction, asset class, structure. Always quoted in writing after the Diagnostic report.</w:t>
      </w:r>
    </w:p>
    <w:p>
      <w:pPr>
        <w:pStyle w:val="ListParagraph"/>
        <w:numPr>
          <w:ilvl w:val="1"/>
          <w:numId w:val="2"/>
        </w:numPr>
        <w:spacing w:after="80" w:before="0"/>
      </w:pPr>
      <w:r>
        <w:rPr>
          <w:rFonts w:ascii="Arial" w:cs="Arial" w:eastAsia="Arial" w:hAnsi="Arial"/>
          <w:i/>
          <w:iCs/>
          <w:color w:val="1A3C2E"/>
          <w:sz w:val="22"/>
          <w:szCs w:val="22"/>
        </w:rPr>
        <w:t xml:space="preserve">Mandate báo giá tùy từng case sau Diagnostic. Khoảng tham khảo nội bộ: $5K–$50K tùy luật địa phương, loại tài sản, cấu trúc. Luôn báo giá bằng văn bản sau khi giao Diagnostic.</w:t>
      </w:r>
    </w:p>
    <w:p>
      <w:pPr>
        <w:pStyle w:val="ListParagraph"/>
        <w:numPr>
          <w:ilvl w:val="0"/>
          <w:numId w:val="2"/>
        </w:numPr>
        <w:spacing w:after="0" w:before="40"/>
      </w:pPr>
      <w:r>
        <w:rPr>
          <w:rFonts w:ascii="Arial" w:cs="Arial" w:eastAsia="Arial" w:hAnsi="Arial"/>
          <w:sz w:val="22"/>
          <w:szCs w:val="22"/>
        </w:rPr>
        <w:t xml:space="preserve">Success fee 1–3 % is calibrated against typical placement-agent rates (5–7 %) — we are cheaper because we own the rails.</w:t>
      </w:r>
    </w:p>
    <w:p>
      <w:pPr>
        <w:pStyle w:val="ListParagraph"/>
        <w:numPr>
          <w:ilvl w:val="1"/>
          <w:numId w:val="2"/>
        </w:numPr>
        <w:spacing w:after="80" w:before="0"/>
      </w:pPr>
      <w:r>
        <w:rPr>
          <w:rFonts w:ascii="Arial" w:cs="Arial" w:eastAsia="Arial" w:hAnsi="Arial"/>
          <w:i/>
          <w:iCs/>
          <w:color w:val="1A3C2E"/>
          <w:sz w:val="22"/>
          <w:szCs w:val="22"/>
        </w:rPr>
        <w:t xml:space="preserve">Success fee 1–3 % được hiệu chỉnh so với phí placement agent thông thường (5–7 %) — ta rẻ hơn vì sở hữu rails.</w:t>
      </w:r>
    </w:p>
    <w:p>
      <w:pPr>
        <w:pStyle w:val="Heading1"/>
        <w:spacing w:after="160" w:before="360"/>
      </w:pPr>
      <w:r>
        <w:rPr>
          <w:rFonts w:ascii="Arial" w:cs="Arial" w:eastAsia="Arial" w:hAnsi="Arial"/>
          <w:b/>
          <w:bCs/>
          <w:sz w:val="32"/>
          <w:szCs w:val="32"/>
        </w:rPr>
        <w:t xml:space="preserve">5. Ideal customer profiles (ICPs)</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5. Khách hàng mục tiêu lý tưởng</w:t>
      </w:r>
    </w:p>
    <w:p>
      <w:pPr>
        <w:pStyle w:val="ListParagraph"/>
        <w:numPr>
          <w:ilvl w:val="0"/>
          <w:numId w:val="2"/>
        </w:numPr>
        <w:spacing w:after="0" w:before="40"/>
      </w:pPr>
      <w:r>
        <w:rPr>
          <w:rFonts w:ascii="Arial" w:cs="Arial" w:eastAsia="Arial" w:hAnsi="Arial"/>
          <w:sz w:val="22"/>
          <w:szCs w:val="22"/>
        </w:rPr>
        <w:t xml:space="preserve">Real estate owners in SE Asia (Vietnam, Thailand, Indonesia, Philippines) sitting on $50K–$5M of property who want partial liquidity without selling. Primary ICP.</w:t>
      </w:r>
    </w:p>
    <w:p>
      <w:pPr>
        <w:pStyle w:val="ListParagraph"/>
        <w:numPr>
          <w:ilvl w:val="1"/>
          <w:numId w:val="2"/>
        </w:numPr>
        <w:spacing w:after="80" w:before="0"/>
      </w:pPr>
      <w:r>
        <w:rPr>
          <w:rFonts w:ascii="Arial" w:cs="Arial" w:eastAsia="Arial" w:hAnsi="Arial"/>
          <w:i/>
          <w:iCs/>
          <w:color w:val="1A3C2E"/>
          <w:sz w:val="22"/>
          <w:szCs w:val="22"/>
        </w:rPr>
        <w:t xml:space="preserve">Chủ BĐS Đông Nam Á (Việt Nam, Thái Lan, Indonesia, Philippines) sở hữu $50K–$5M muốn thanh khoản một phần mà không bán đứt. ICP chính.</w:t>
      </w:r>
    </w:p>
    <w:p>
      <w:pPr>
        <w:pStyle w:val="ListParagraph"/>
        <w:numPr>
          <w:ilvl w:val="0"/>
          <w:numId w:val="2"/>
        </w:numPr>
        <w:spacing w:after="0" w:before="40"/>
      </w:pPr>
      <w:r>
        <w:rPr>
          <w:rFonts w:ascii="Arial" w:cs="Arial" w:eastAsia="Arial" w:hAnsi="Arial"/>
          <w:sz w:val="22"/>
          <w:szCs w:val="22"/>
        </w:rPr>
        <w:t xml:space="preserve">Vietnamese SME owners with receivables / invoice flows wanting working capital via tokenized receivables.</w:t>
      </w:r>
    </w:p>
    <w:p>
      <w:pPr>
        <w:pStyle w:val="ListParagraph"/>
        <w:numPr>
          <w:ilvl w:val="1"/>
          <w:numId w:val="2"/>
        </w:numPr>
        <w:spacing w:after="80" w:before="0"/>
      </w:pPr>
      <w:r>
        <w:rPr>
          <w:rFonts w:ascii="Arial" w:cs="Arial" w:eastAsia="Arial" w:hAnsi="Arial"/>
          <w:i/>
          <w:iCs/>
          <w:color w:val="1A3C2E"/>
          <w:sz w:val="22"/>
          <w:szCs w:val="22"/>
        </w:rPr>
        <w:t xml:space="preserve">Chủ SME Việt Nam có dòng phải thu / hóa đơn muốn vốn lưu động qua hóa đơn được token hóa.</w:t>
      </w:r>
    </w:p>
    <w:p>
      <w:pPr>
        <w:pStyle w:val="ListParagraph"/>
        <w:numPr>
          <w:ilvl w:val="0"/>
          <w:numId w:val="2"/>
        </w:numPr>
        <w:spacing w:after="0" w:before="40"/>
      </w:pPr>
      <w:r>
        <w:rPr>
          <w:rFonts w:ascii="Arial" w:cs="Arial" w:eastAsia="Arial" w:hAnsi="Arial"/>
          <w:sz w:val="22"/>
          <w:szCs w:val="22"/>
        </w:rPr>
        <w:t xml:space="preserve">Family offices in Singapore / Hong Kong / Dubai with private credit books seeking on-chain distribution.</w:t>
      </w:r>
    </w:p>
    <w:p>
      <w:pPr>
        <w:pStyle w:val="ListParagraph"/>
        <w:numPr>
          <w:ilvl w:val="1"/>
          <w:numId w:val="2"/>
        </w:numPr>
        <w:spacing w:after="80" w:before="0"/>
      </w:pPr>
      <w:r>
        <w:rPr>
          <w:rFonts w:ascii="Arial" w:cs="Arial" w:eastAsia="Arial" w:hAnsi="Arial"/>
          <w:i/>
          <w:iCs/>
          <w:color w:val="1A3C2E"/>
          <w:sz w:val="22"/>
          <w:szCs w:val="22"/>
        </w:rPr>
        <w:t xml:space="preserve">Family office tại Singapore / Hong Kong / Dubai có danh mục private credit muốn phân phối on-chain.</w:t>
      </w:r>
    </w:p>
    <w:p>
      <w:pPr>
        <w:pStyle w:val="ListParagraph"/>
        <w:numPr>
          <w:ilvl w:val="0"/>
          <w:numId w:val="2"/>
        </w:numPr>
        <w:spacing w:after="0" w:before="40"/>
      </w:pPr>
      <w:r>
        <w:rPr>
          <w:rFonts w:ascii="Arial" w:cs="Arial" w:eastAsia="Arial" w:hAnsi="Arial"/>
          <w:sz w:val="22"/>
          <w:szCs w:val="22"/>
        </w:rPr>
        <w:t xml:space="preserve">Boutique hospitality, F&amp;B, and lifestyle operators (think DEAL itself, expanded) — small-format real economy assets that want fractional crowdfunding via token rails.</w:t>
      </w:r>
    </w:p>
    <w:p>
      <w:pPr>
        <w:pStyle w:val="ListParagraph"/>
        <w:numPr>
          <w:ilvl w:val="1"/>
          <w:numId w:val="2"/>
        </w:numPr>
        <w:spacing w:after="80" w:before="0"/>
      </w:pPr>
      <w:r>
        <w:rPr>
          <w:rFonts w:ascii="Arial" w:cs="Arial" w:eastAsia="Arial" w:hAnsi="Arial"/>
          <w:i/>
          <w:iCs/>
          <w:color w:val="1A3C2E"/>
          <w:sz w:val="22"/>
          <w:szCs w:val="22"/>
        </w:rPr>
        <w:t xml:space="preserve">Operator boutique trong khách sạn, F&amp;B, lifestyle (ví dụ chính DEAL) — tài sản kinh tế thực quy mô nhỏ muốn crowdfunding phân mảnh qua token.</w:t>
      </w:r>
    </w:p>
    <w:p>
      <w:pPr>
        <w:pStyle w:val="ListParagraph"/>
        <w:numPr>
          <w:ilvl w:val="0"/>
          <w:numId w:val="2"/>
        </w:numPr>
        <w:spacing w:after="0" w:before="40"/>
      </w:pPr>
      <w:r>
        <w:rPr>
          <w:rFonts w:ascii="Arial" w:cs="Arial" w:eastAsia="Arial" w:hAnsi="Arial"/>
          <w:sz w:val="22"/>
          <w:szCs w:val="22"/>
        </w:rPr>
        <w:t xml:space="preserve">Art / collectibles owners seeking provenance + fractional liquidity.</w:t>
      </w:r>
    </w:p>
    <w:p>
      <w:pPr>
        <w:pStyle w:val="ListParagraph"/>
        <w:numPr>
          <w:ilvl w:val="1"/>
          <w:numId w:val="2"/>
        </w:numPr>
        <w:spacing w:after="80" w:before="0"/>
      </w:pPr>
      <w:r>
        <w:rPr>
          <w:rFonts w:ascii="Arial" w:cs="Arial" w:eastAsia="Arial" w:hAnsi="Arial"/>
          <w:i/>
          <w:iCs/>
          <w:color w:val="1A3C2E"/>
          <w:sz w:val="22"/>
          <w:szCs w:val="22"/>
        </w:rPr>
        <w:t xml:space="preserve">Chủ tài sản nghệ thuật / sưu tập tìm provenance + thanh khoản phân mảnh.</w:t>
      </w:r>
    </w:p>
    <w:p>
      <w:pPr>
        <w:pStyle w:val="ListParagraph"/>
        <w:numPr>
          <w:ilvl w:val="0"/>
          <w:numId w:val="2"/>
        </w:numPr>
        <w:spacing w:after="0" w:before="40"/>
      </w:pPr>
      <w:r>
        <w:rPr>
          <w:rFonts w:ascii="Arial" w:cs="Arial" w:eastAsia="Arial" w:hAnsi="Arial"/>
          <w:sz w:val="22"/>
          <w:szCs w:val="22"/>
        </w:rPr>
        <w:t xml:space="preserve">IP holders (music catalogs, royalty streams, brand licenses) wanting yield distribution.</w:t>
      </w:r>
    </w:p>
    <w:p>
      <w:pPr>
        <w:pStyle w:val="ListParagraph"/>
        <w:numPr>
          <w:ilvl w:val="1"/>
          <w:numId w:val="2"/>
        </w:numPr>
        <w:spacing w:after="80" w:before="0"/>
      </w:pPr>
      <w:r>
        <w:rPr>
          <w:rFonts w:ascii="Arial" w:cs="Arial" w:eastAsia="Arial" w:hAnsi="Arial"/>
          <w:i/>
          <w:iCs/>
          <w:color w:val="1A3C2E"/>
          <w:sz w:val="22"/>
          <w:szCs w:val="22"/>
        </w:rPr>
        <w:t xml:space="preserve">Chủ IP (catalog âm nhạc, dòng royalty, license thương hiệu) muốn phân phối yield.</w:t>
      </w:r>
    </w:p>
    <w:p>
      <w:pPr>
        <w:pStyle w:val="ListParagraph"/>
        <w:numPr>
          <w:ilvl w:val="0"/>
          <w:numId w:val="2"/>
        </w:numPr>
        <w:spacing w:after="0" w:before="40"/>
      </w:pPr>
      <w:r>
        <w:rPr>
          <w:rFonts w:ascii="Arial" w:cs="Arial" w:eastAsia="Arial" w:hAnsi="Arial"/>
          <w:sz w:val="22"/>
          <w:szCs w:val="22"/>
        </w:rPr>
        <w:t xml:space="preserve">Crypto-native projects with off-chain backing (RWA-token issuers needing infra, not advice).</w:t>
      </w:r>
    </w:p>
    <w:p>
      <w:pPr>
        <w:pStyle w:val="ListParagraph"/>
        <w:numPr>
          <w:ilvl w:val="1"/>
          <w:numId w:val="2"/>
        </w:numPr>
        <w:spacing w:after="80" w:before="0"/>
      </w:pPr>
      <w:r>
        <w:rPr>
          <w:rFonts w:ascii="Arial" w:cs="Arial" w:eastAsia="Arial" w:hAnsi="Arial"/>
          <w:i/>
          <w:iCs/>
          <w:color w:val="1A3C2E"/>
          <w:sz w:val="22"/>
          <w:szCs w:val="22"/>
        </w:rPr>
        <w:t xml:space="preserve">Dự án crypto-native có tài sản đối ứng off-chain (issuer RWA cần infra, không cần tư vấn).</w:t>
      </w:r>
    </w:p>
    <w:p>
      <w:pPr>
        <w:pStyle w:val="Heading2"/>
        <w:spacing w:after="120" w:before="240"/>
      </w:pPr>
      <w:r>
        <w:rPr>
          <w:rFonts w:ascii="Arial" w:cs="Arial" w:eastAsia="Arial" w:hAnsi="Arial"/>
          <w:b/>
          <w:bCs/>
          <w:sz w:val="26"/>
          <w:szCs w:val="26"/>
        </w:rPr>
        <w:t xml:space="preserve">Out-of-target (do not chase)</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Ngoài mục tiêu (không theo đuổi)</w:t>
      </w:r>
    </w:p>
    <w:p>
      <w:pPr>
        <w:pStyle w:val="ListParagraph"/>
        <w:numPr>
          <w:ilvl w:val="0"/>
          <w:numId w:val="2"/>
        </w:numPr>
        <w:spacing w:after="0" w:before="40"/>
      </w:pPr>
      <w:r>
        <w:rPr>
          <w:rFonts w:ascii="Arial" w:cs="Arial" w:eastAsia="Arial" w:hAnsi="Arial"/>
          <w:sz w:val="22"/>
          <w:szCs w:val="22"/>
        </w:rPr>
        <w:t xml:space="preserve">Retail "is crypto a good investment" tourists.</w:t>
      </w:r>
    </w:p>
    <w:p>
      <w:pPr>
        <w:pStyle w:val="ListParagraph"/>
        <w:numPr>
          <w:ilvl w:val="1"/>
          <w:numId w:val="2"/>
        </w:numPr>
        <w:spacing w:after="80" w:before="0"/>
      </w:pPr>
      <w:r>
        <w:rPr>
          <w:rFonts w:ascii="Arial" w:cs="Arial" w:eastAsia="Arial" w:hAnsi="Arial"/>
          <w:i/>
          <w:iCs/>
          <w:color w:val="1A3C2E"/>
          <w:sz w:val="22"/>
          <w:szCs w:val="22"/>
        </w:rPr>
        <w:t xml:space="preserve">"Tourist" hỏi crypto có nên đầu tư không.</w:t>
      </w:r>
    </w:p>
    <w:p>
      <w:pPr>
        <w:pStyle w:val="ListParagraph"/>
        <w:numPr>
          <w:ilvl w:val="0"/>
          <w:numId w:val="2"/>
        </w:numPr>
        <w:spacing w:after="0" w:before="40"/>
      </w:pPr>
      <w:r>
        <w:rPr>
          <w:rFonts w:ascii="Arial" w:cs="Arial" w:eastAsia="Arial" w:hAnsi="Arial"/>
          <w:sz w:val="22"/>
          <w:szCs w:val="22"/>
        </w:rPr>
        <w:t xml:space="preserve">Pump-and-dump memecoin operators looking for legitimacy wash.</w:t>
      </w:r>
    </w:p>
    <w:p>
      <w:pPr>
        <w:pStyle w:val="ListParagraph"/>
        <w:numPr>
          <w:ilvl w:val="1"/>
          <w:numId w:val="2"/>
        </w:numPr>
        <w:spacing w:after="80" w:before="0"/>
      </w:pPr>
      <w:r>
        <w:rPr>
          <w:rFonts w:ascii="Arial" w:cs="Arial" w:eastAsia="Arial" w:hAnsi="Arial"/>
          <w:i/>
          <w:iCs/>
          <w:color w:val="1A3C2E"/>
          <w:sz w:val="22"/>
          <w:szCs w:val="22"/>
        </w:rPr>
        <w:t xml:space="preserve">Operator memecoin pump-and-dump muốn tẩy trắng.</w:t>
      </w:r>
    </w:p>
    <w:p>
      <w:pPr>
        <w:pStyle w:val="ListParagraph"/>
        <w:numPr>
          <w:ilvl w:val="0"/>
          <w:numId w:val="2"/>
        </w:numPr>
        <w:spacing w:after="0" w:before="40"/>
      </w:pPr>
      <w:r>
        <w:rPr>
          <w:rFonts w:ascii="Arial" w:cs="Arial" w:eastAsia="Arial" w:hAnsi="Arial"/>
          <w:sz w:val="22"/>
          <w:szCs w:val="22"/>
        </w:rPr>
        <w:t xml:space="preserve">Anyone unable to demonstrate clean asset ownership documentation.</w:t>
      </w:r>
    </w:p>
    <w:p>
      <w:pPr>
        <w:pStyle w:val="ListParagraph"/>
        <w:numPr>
          <w:ilvl w:val="1"/>
          <w:numId w:val="2"/>
        </w:numPr>
        <w:spacing w:after="80" w:before="0"/>
      </w:pPr>
      <w:r>
        <w:rPr>
          <w:rFonts w:ascii="Arial" w:cs="Arial" w:eastAsia="Arial" w:hAnsi="Arial"/>
          <w:i/>
          <w:iCs/>
          <w:color w:val="1A3C2E"/>
          <w:sz w:val="22"/>
          <w:szCs w:val="22"/>
        </w:rPr>
        <w:t xml:space="preserve">Bất kỳ ai không chứng minh được tài liệu sở hữu sạch.</w:t>
      </w:r>
    </w:p>
    <w:p>
      <w:pPr>
        <w:pStyle w:val="ListParagraph"/>
        <w:numPr>
          <w:ilvl w:val="0"/>
          <w:numId w:val="2"/>
        </w:numPr>
        <w:spacing w:after="0" w:before="40"/>
      </w:pPr>
      <w:r>
        <w:rPr>
          <w:rFonts w:ascii="Arial" w:cs="Arial" w:eastAsia="Arial" w:hAnsi="Arial"/>
          <w:sz w:val="22"/>
          <w:szCs w:val="22"/>
        </w:rPr>
        <w:t xml:space="preserve">US-resident retail investors on the issuer side (Reg D / Reg S complexity not in scope).</w:t>
      </w:r>
    </w:p>
    <w:p>
      <w:pPr>
        <w:pStyle w:val="ListParagraph"/>
        <w:numPr>
          <w:ilvl w:val="1"/>
          <w:numId w:val="2"/>
        </w:numPr>
        <w:spacing w:after="80" w:before="0"/>
      </w:pPr>
      <w:r>
        <w:rPr>
          <w:rFonts w:ascii="Arial" w:cs="Arial" w:eastAsia="Arial" w:hAnsi="Arial"/>
          <w:i/>
          <w:iCs/>
          <w:color w:val="1A3C2E"/>
          <w:sz w:val="22"/>
          <w:szCs w:val="22"/>
        </w:rPr>
        <w:t xml:space="preserve">Nhà đầu tư retail thường trú Mỹ ở phía issuer (Reg D / Reg S nằm ngoài phạm vi).</w:t>
      </w:r>
    </w:p>
    <w:p>
      <w:pPr>
        <w:pStyle w:val="Heading1"/>
        <w:spacing w:after="160" w:before="360"/>
      </w:pPr>
      <w:r>
        <w:rPr>
          <w:rFonts w:ascii="Arial" w:cs="Arial" w:eastAsia="Arial" w:hAnsi="Arial"/>
          <w:b/>
          <w:bCs/>
          <w:sz w:val="32"/>
          <w:szCs w:val="32"/>
        </w:rPr>
        <w:t xml:space="preserve">6. Anti-leech qualification system</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6. Hệ thống lọc chống "leecher"</w:t>
      </w:r>
    </w:p>
    <w:p>
      <w:pPr>
        <w:spacing w:after="0" w:before="60"/>
      </w:pPr>
      <w:r>
        <w:rPr>
          <w:rFonts w:ascii="Arial" w:cs="Arial" w:eastAsia="Arial" w:hAnsi="Arial"/>
          <w:sz w:val="22"/>
          <w:szCs w:val="22"/>
        </w:rPr>
        <w:t xml:space="preserve">The free Self-Check is the front door. Without a strict gate, it will be flooded with curious students, scammers, and tire-kickers. The intake form is therefore the single most important UX element on the site.</w:t>
      </w:r>
    </w:p>
    <w:p>
      <w:pPr>
        <w:spacing w:after="120" w:before="0"/>
      </w:pPr>
      <w:r>
        <w:rPr>
          <w:rFonts w:ascii="Arial" w:cs="Arial" w:eastAsia="Arial" w:hAnsi="Arial"/>
          <w:i/>
          <w:iCs/>
          <w:color w:val="1A3C2E"/>
          <w:sz w:val="22"/>
          <w:szCs w:val="22"/>
        </w:rPr>
        <w:t xml:space="preserve">Self-Check miễn phí là cửa vào. Không có cổng chặt, nó sẽ bị tràn bởi sinh viên tò mò, scammer và người không nghiêm túc. Vì vậy intake form là element UX quan trọng nhất của site.</w:t>
      </w:r>
    </w:p>
    <w:p>
      <w:pPr>
        <w:pStyle w:val="Heading2"/>
        <w:spacing w:after="120" w:before="240"/>
      </w:pPr>
      <w:r>
        <w:rPr>
          <w:rFonts w:ascii="Arial" w:cs="Arial" w:eastAsia="Arial" w:hAnsi="Arial"/>
          <w:b/>
          <w:bCs/>
          <w:sz w:val="26"/>
          <w:szCs w:val="26"/>
        </w:rPr>
        <w:t xml:space="preserve">Mandatory intake fields</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Trường bắt buộc trong intake</w:t>
      </w:r>
    </w:p>
    <w:p>
      <w:pPr>
        <w:pStyle w:val="ListParagraph"/>
        <w:numPr>
          <w:ilvl w:val="0"/>
          <w:numId w:val="2"/>
        </w:numPr>
        <w:spacing w:after="0" w:before="40"/>
      </w:pPr>
      <w:r>
        <w:rPr>
          <w:rFonts w:ascii="Arial" w:cs="Arial" w:eastAsia="Arial" w:hAnsi="Arial"/>
          <w:sz w:val="22"/>
          <w:szCs w:val="22"/>
        </w:rPr>
        <w:t xml:space="preserve">Full name + role</w:t>
      </w:r>
    </w:p>
    <w:p>
      <w:pPr>
        <w:pStyle w:val="ListParagraph"/>
        <w:numPr>
          <w:ilvl w:val="1"/>
          <w:numId w:val="2"/>
        </w:numPr>
        <w:spacing w:after="80" w:before="0"/>
      </w:pPr>
      <w:r>
        <w:rPr>
          <w:rFonts w:ascii="Arial" w:cs="Arial" w:eastAsia="Arial" w:hAnsi="Arial"/>
          <w:i/>
          <w:iCs/>
          <w:color w:val="1A3C2E"/>
          <w:sz w:val="22"/>
          <w:szCs w:val="22"/>
        </w:rPr>
        <w:t xml:space="preserve">Họ tên + vai trò</w:t>
      </w:r>
    </w:p>
    <w:p>
      <w:pPr>
        <w:pStyle w:val="ListParagraph"/>
        <w:numPr>
          <w:ilvl w:val="0"/>
          <w:numId w:val="2"/>
        </w:numPr>
        <w:spacing w:after="0" w:before="40"/>
      </w:pPr>
      <w:r>
        <w:rPr>
          <w:rFonts w:ascii="Arial" w:cs="Arial" w:eastAsia="Arial" w:hAnsi="Arial"/>
          <w:sz w:val="22"/>
          <w:szCs w:val="22"/>
        </w:rPr>
        <w:t xml:space="preserve">Company / entity (optional but scored)</w:t>
      </w:r>
    </w:p>
    <w:p>
      <w:pPr>
        <w:pStyle w:val="ListParagraph"/>
        <w:numPr>
          <w:ilvl w:val="1"/>
          <w:numId w:val="2"/>
        </w:numPr>
        <w:spacing w:after="80" w:before="0"/>
      </w:pPr>
      <w:r>
        <w:rPr>
          <w:rFonts w:ascii="Arial" w:cs="Arial" w:eastAsia="Arial" w:hAnsi="Arial"/>
          <w:i/>
          <w:iCs/>
          <w:color w:val="1A3C2E"/>
          <w:sz w:val="22"/>
          <w:szCs w:val="22"/>
        </w:rPr>
        <w:t xml:space="preserve">Công ty / pháp nhân (không bắt buộc, có chấm điểm)</w:t>
      </w:r>
    </w:p>
    <w:p>
      <w:pPr>
        <w:pStyle w:val="ListParagraph"/>
        <w:numPr>
          <w:ilvl w:val="0"/>
          <w:numId w:val="2"/>
        </w:numPr>
        <w:spacing w:after="0" w:before="40"/>
      </w:pPr>
      <w:r>
        <w:rPr>
          <w:rFonts w:ascii="Arial" w:cs="Arial" w:eastAsia="Arial" w:hAnsi="Arial"/>
          <w:sz w:val="22"/>
          <w:szCs w:val="22"/>
        </w:rPr>
        <w:t xml:space="preserve">Country of asset &amp; country of issuer</w:t>
      </w:r>
    </w:p>
    <w:p>
      <w:pPr>
        <w:pStyle w:val="ListParagraph"/>
        <w:numPr>
          <w:ilvl w:val="1"/>
          <w:numId w:val="2"/>
        </w:numPr>
        <w:spacing w:after="80" w:before="0"/>
      </w:pPr>
      <w:r>
        <w:rPr>
          <w:rFonts w:ascii="Arial" w:cs="Arial" w:eastAsia="Arial" w:hAnsi="Arial"/>
          <w:i/>
          <w:iCs/>
          <w:color w:val="1A3C2E"/>
          <w:sz w:val="22"/>
          <w:szCs w:val="22"/>
        </w:rPr>
        <w:t xml:space="preserve">Quốc gia tài sản &amp; quốc gia issuer</w:t>
      </w:r>
    </w:p>
    <w:p>
      <w:pPr>
        <w:pStyle w:val="ListParagraph"/>
        <w:numPr>
          <w:ilvl w:val="0"/>
          <w:numId w:val="2"/>
        </w:numPr>
        <w:spacing w:after="0" w:before="40"/>
      </w:pPr>
      <w:r>
        <w:rPr>
          <w:rFonts w:ascii="Arial" w:cs="Arial" w:eastAsia="Arial" w:hAnsi="Arial"/>
          <w:sz w:val="22"/>
          <w:szCs w:val="22"/>
        </w:rPr>
        <w:t xml:space="preserve">Asset class (dropdown: real estate / receivables / private credit / IP / commodities / art / business equity / other)</w:t>
      </w:r>
    </w:p>
    <w:p>
      <w:pPr>
        <w:pStyle w:val="ListParagraph"/>
        <w:numPr>
          <w:ilvl w:val="1"/>
          <w:numId w:val="2"/>
        </w:numPr>
        <w:spacing w:after="80" w:before="0"/>
      </w:pPr>
      <w:r>
        <w:rPr>
          <w:rFonts w:ascii="Arial" w:cs="Arial" w:eastAsia="Arial" w:hAnsi="Arial"/>
          <w:i/>
          <w:iCs/>
          <w:color w:val="1A3C2E"/>
          <w:sz w:val="22"/>
          <w:szCs w:val="22"/>
        </w:rPr>
        <w:t xml:space="preserve">Loại tài sản (dropdown)</w:t>
      </w:r>
    </w:p>
    <w:p>
      <w:pPr>
        <w:pStyle w:val="ListParagraph"/>
        <w:numPr>
          <w:ilvl w:val="0"/>
          <w:numId w:val="2"/>
        </w:numPr>
        <w:spacing w:after="0" w:before="40"/>
      </w:pPr>
      <w:r>
        <w:rPr>
          <w:rFonts w:ascii="Arial" w:cs="Arial" w:eastAsia="Arial" w:hAnsi="Arial"/>
          <w:sz w:val="22"/>
          <w:szCs w:val="22"/>
        </w:rPr>
        <w:t xml:space="preserve">Estimated asset value (brackets: &lt;$50K / $50K-250K / $250K-1M / $1M-5M / $5M+)</w:t>
      </w:r>
    </w:p>
    <w:p>
      <w:pPr>
        <w:pStyle w:val="ListParagraph"/>
        <w:numPr>
          <w:ilvl w:val="1"/>
          <w:numId w:val="2"/>
        </w:numPr>
        <w:spacing w:after="80" w:before="0"/>
      </w:pPr>
      <w:r>
        <w:rPr>
          <w:rFonts w:ascii="Arial" w:cs="Arial" w:eastAsia="Arial" w:hAnsi="Arial"/>
          <w:i/>
          <w:iCs/>
          <w:color w:val="1A3C2E"/>
          <w:sz w:val="22"/>
          <w:szCs w:val="22"/>
        </w:rPr>
        <w:t xml:space="preserve">Giá trị tài sản ước tính (theo khoảng)</w:t>
      </w:r>
    </w:p>
    <w:p>
      <w:pPr>
        <w:pStyle w:val="ListParagraph"/>
        <w:numPr>
          <w:ilvl w:val="0"/>
          <w:numId w:val="2"/>
        </w:numPr>
        <w:spacing w:after="0" w:before="40"/>
      </w:pPr>
      <w:r>
        <w:rPr>
          <w:rFonts w:ascii="Arial" w:cs="Arial" w:eastAsia="Arial" w:hAnsi="Arial"/>
          <w:sz w:val="22"/>
          <w:szCs w:val="22"/>
        </w:rPr>
        <w:t xml:space="preserve">Ownership documentation status (yes / partial / no / unsure)</w:t>
      </w:r>
    </w:p>
    <w:p>
      <w:pPr>
        <w:pStyle w:val="ListParagraph"/>
        <w:numPr>
          <w:ilvl w:val="1"/>
          <w:numId w:val="2"/>
        </w:numPr>
        <w:spacing w:after="80" w:before="0"/>
      </w:pPr>
      <w:r>
        <w:rPr>
          <w:rFonts w:ascii="Arial" w:cs="Arial" w:eastAsia="Arial" w:hAnsi="Arial"/>
          <w:i/>
          <w:iCs/>
          <w:color w:val="1A3C2E"/>
          <w:sz w:val="22"/>
          <w:szCs w:val="22"/>
        </w:rPr>
        <w:t xml:space="preserve">Tình trạng giấy tờ sở hữu (đầy đủ / một phần / chưa có / không chắc)</w:t>
      </w:r>
    </w:p>
    <w:p>
      <w:pPr>
        <w:pStyle w:val="ListParagraph"/>
        <w:numPr>
          <w:ilvl w:val="0"/>
          <w:numId w:val="2"/>
        </w:numPr>
        <w:spacing w:after="0" w:before="40"/>
      </w:pPr>
      <w:r>
        <w:rPr>
          <w:rFonts w:ascii="Arial" w:cs="Arial" w:eastAsia="Arial" w:hAnsi="Arial"/>
          <w:sz w:val="22"/>
          <w:szCs w:val="22"/>
        </w:rPr>
        <w:t xml:space="preserve">Target raise size</w:t>
      </w:r>
    </w:p>
    <w:p>
      <w:pPr>
        <w:pStyle w:val="ListParagraph"/>
        <w:numPr>
          <w:ilvl w:val="1"/>
          <w:numId w:val="2"/>
        </w:numPr>
        <w:spacing w:after="80" w:before="0"/>
      </w:pPr>
      <w:r>
        <w:rPr>
          <w:rFonts w:ascii="Arial" w:cs="Arial" w:eastAsia="Arial" w:hAnsi="Arial"/>
          <w:i/>
          <w:iCs/>
          <w:color w:val="1A3C2E"/>
          <w:sz w:val="22"/>
          <w:szCs w:val="22"/>
        </w:rPr>
        <w:t xml:space="preserve">Quy mô vốn muốn huy động</w:t>
      </w:r>
    </w:p>
    <w:p>
      <w:pPr>
        <w:pStyle w:val="ListParagraph"/>
        <w:numPr>
          <w:ilvl w:val="0"/>
          <w:numId w:val="2"/>
        </w:numPr>
        <w:spacing w:after="0" w:before="40"/>
      </w:pPr>
      <w:r>
        <w:rPr>
          <w:rFonts w:ascii="Arial" w:cs="Arial" w:eastAsia="Arial" w:hAnsi="Arial"/>
          <w:sz w:val="22"/>
          <w:szCs w:val="22"/>
        </w:rPr>
        <w:t xml:space="preserve">Target timeline (months)</w:t>
      </w:r>
    </w:p>
    <w:p>
      <w:pPr>
        <w:pStyle w:val="ListParagraph"/>
        <w:numPr>
          <w:ilvl w:val="1"/>
          <w:numId w:val="2"/>
        </w:numPr>
        <w:spacing w:after="80" w:before="0"/>
      </w:pPr>
      <w:r>
        <w:rPr>
          <w:rFonts w:ascii="Arial" w:cs="Arial" w:eastAsia="Arial" w:hAnsi="Arial"/>
          <w:i/>
          <w:iCs/>
          <w:color w:val="1A3C2E"/>
          <w:sz w:val="22"/>
          <w:szCs w:val="22"/>
        </w:rPr>
        <w:t xml:space="preserve">Timeline mục tiêu (tháng)</w:t>
      </w:r>
    </w:p>
    <w:p>
      <w:pPr>
        <w:pStyle w:val="ListParagraph"/>
        <w:numPr>
          <w:ilvl w:val="0"/>
          <w:numId w:val="2"/>
        </w:numPr>
        <w:spacing w:after="0" w:before="40"/>
      </w:pPr>
      <w:r>
        <w:rPr>
          <w:rFonts w:ascii="Arial" w:cs="Arial" w:eastAsia="Arial" w:hAnsi="Arial"/>
          <w:sz w:val="22"/>
          <w:szCs w:val="22"/>
        </w:rPr>
        <w:t xml:space="preserve">Why tokenize? (free text, min 200 chars)</w:t>
      </w:r>
    </w:p>
    <w:p>
      <w:pPr>
        <w:pStyle w:val="ListParagraph"/>
        <w:numPr>
          <w:ilvl w:val="1"/>
          <w:numId w:val="2"/>
        </w:numPr>
        <w:spacing w:after="80" w:before="0"/>
      </w:pPr>
      <w:r>
        <w:rPr>
          <w:rFonts w:ascii="Arial" w:cs="Arial" w:eastAsia="Arial" w:hAnsi="Arial"/>
          <w:i/>
          <w:iCs/>
          <w:color w:val="1A3C2E"/>
          <w:sz w:val="22"/>
          <w:szCs w:val="22"/>
        </w:rPr>
        <w:t xml:space="preserve">Vì sao token hóa? (text tự do, tối thiểu 200 ký tự)</w:t>
      </w:r>
    </w:p>
    <w:p>
      <w:pPr>
        <w:pStyle w:val="ListParagraph"/>
        <w:numPr>
          <w:ilvl w:val="0"/>
          <w:numId w:val="2"/>
        </w:numPr>
        <w:spacing w:after="0" w:before="40"/>
      </w:pPr>
      <w:r>
        <w:rPr>
          <w:rFonts w:ascii="Arial" w:cs="Arial" w:eastAsia="Arial" w:hAnsi="Arial"/>
          <w:sz w:val="22"/>
          <w:szCs w:val="22"/>
        </w:rPr>
        <w:t xml:space="preserve">Have you spoken to a lawyer about this asset? (yes/no/which jurisdiction)</w:t>
      </w:r>
    </w:p>
    <w:p>
      <w:pPr>
        <w:pStyle w:val="ListParagraph"/>
        <w:numPr>
          <w:ilvl w:val="1"/>
          <w:numId w:val="2"/>
        </w:numPr>
        <w:spacing w:after="80" w:before="0"/>
      </w:pPr>
      <w:r>
        <w:rPr>
          <w:rFonts w:ascii="Arial" w:cs="Arial" w:eastAsia="Arial" w:hAnsi="Arial"/>
          <w:i/>
          <w:iCs/>
          <w:color w:val="1A3C2E"/>
          <w:sz w:val="22"/>
          <w:szCs w:val="22"/>
        </w:rPr>
        <w:t xml:space="preserve">Đã làm việc với luật sư về tài sản này chưa? (có/không/ở đâu)</w:t>
      </w:r>
    </w:p>
    <w:p>
      <w:pPr>
        <w:pStyle w:val="Heading2"/>
        <w:spacing w:after="120" w:before="240"/>
      </w:pPr>
      <w:r>
        <w:rPr>
          <w:rFonts w:ascii="Arial" w:cs="Arial" w:eastAsia="Arial" w:hAnsi="Arial"/>
          <w:b/>
          <w:bCs/>
          <w:sz w:val="26"/>
          <w:szCs w:val="26"/>
        </w:rPr>
        <w:t xml:space="preserve">Auto-rejection rules</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Quy tắc tự động từ chối</w:t>
      </w:r>
    </w:p>
    <w:p>
      <w:pPr>
        <w:pStyle w:val="ListParagraph"/>
        <w:numPr>
          <w:ilvl w:val="0"/>
          <w:numId w:val="2"/>
        </w:numPr>
        <w:spacing w:after="0" w:before="40"/>
      </w:pPr>
      <w:r>
        <w:rPr>
          <w:rFonts w:ascii="Arial" w:cs="Arial" w:eastAsia="Arial" w:hAnsi="Arial"/>
          <w:sz w:val="22"/>
          <w:szCs w:val="22"/>
        </w:rPr>
        <w:t xml:space="preserve">Asset value bracket &lt; $50K AND target raise &lt; $25K → polite rejection email + suggest waiting until threshold.</w:t>
      </w:r>
    </w:p>
    <w:p>
      <w:pPr>
        <w:pStyle w:val="ListParagraph"/>
        <w:numPr>
          <w:ilvl w:val="1"/>
          <w:numId w:val="2"/>
        </w:numPr>
        <w:spacing w:after="80" w:before="0"/>
      </w:pPr>
      <w:r>
        <w:rPr>
          <w:rFonts w:ascii="Arial" w:cs="Arial" w:eastAsia="Arial" w:hAnsi="Arial"/>
          <w:i/>
          <w:iCs/>
          <w:color w:val="1A3C2E"/>
          <w:sz w:val="22"/>
          <w:szCs w:val="22"/>
        </w:rPr>
        <w:t xml:space="preserve">Tài sản &lt; $50K VÀ raise &lt; $25K → email từ chối lịch sự + gợi ý chờ.</w:t>
      </w:r>
    </w:p>
    <w:p>
      <w:pPr>
        <w:pStyle w:val="ListParagraph"/>
        <w:numPr>
          <w:ilvl w:val="0"/>
          <w:numId w:val="2"/>
        </w:numPr>
        <w:spacing w:after="0" w:before="40"/>
      </w:pPr>
      <w:r>
        <w:rPr>
          <w:rFonts w:ascii="Arial" w:cs="Arial" w:eastAsia="Arial" w:hAnsi="Arial"/>
          <w:sz w:val="22"/>
          <w:szCs w:val="22"/>
        </w:rPr>
        <w:t xml:space="preserve">Free-text "why tokenize" under 200 chars or pure boilerplate → auto-rejection.</w:t>
      </w:r>
    </w:p>
    <w:p>
      <w:pPr>
        <w:pStyle w:val="ListParagraph"/>
        <w:numPr>
          <w:ilvl w:val="1"/>
          <w:numId w:val="2"/>
        </w:numPr>
        <w:spacing w:after="80" w:before="0"/>
      </w:pPr>
      <w:r>
        <w:rPr>
          <w:rFonts w:ascii="Arial" w:cs="Arial" w:eastAsia="Arial" w:hAnsi="Arial"/>
          <w:i/>
          <w:iCs/>
          <w:color w:val="1A3C2E"/>
          <w:sz w:val="22"/>
          <w:szCs w:val="22"/>
        </w:rPr>
        <w:t xml:space="preserve">Text "vì sao" dưới 200 ký tự hoặc rập khuôn → tự động loại.</w:t>
      </w:r>
    </w:p>
    <w:p>
      <w:pPr>
        <w:pStyle w:val="ListParagraph"/>
        <w:numPr>
          <w:ilvl w:val="0"/>
          <w:numId w:val="2"/>
        </w:numPr>
        <w:spacing w:after="0" w:before="40"/>
      </w:pPr>
      <w:r>
        <w:rPr>
          <w:rFonts w:ascii="Arial" w:cs="Arial" w:eastAsia="Arial" w:hAnsi="Arial"/>
          <w:sz w:val="22"/>
          <w:szCs w:val="22"/>
        </w:rPr>
        <w:t xml:space="preserve">No documentation AND no jurisdiction provided → "we need basics" email with checklist.</w:t>
      </w:r>
    </w:p>
    <w:p>
      <w:pPr>
        <w:pStyle w:val="ListParagraph"/>
        <w:numPr>
          <w:ilvl w:val="1"/>
          <w:numId w:val="2"/>
        </w:numPr>
        <w:spacing w:after="80" w:before="0"/>
      </w:pPr>
      <w:r>
        <w:rPr>
          <w:rFonts w:ascii="Arial" w:cs="Arial" w:eastAsia="Arial" w:hAnsi="Arial"/>
          <w:i/>
          <w:iCs/>
          <w:color w:val="1A3C2E"/>
          <w:sz w:val="22"/>
          <w:szCs w:val="22"/>
        </w:rPr>
        <w:t xml:space="preserve">Không có giấy tờ VÀ không có jurisdiction → email "cần thông tin cơ bản" kèm checklist.</w:t>
      </w:r>
    </w:p>
    <w:p>
      <w:pPr>
        <w:pStyle w:val="ListParagraph"/>
        <w:numPr>
          <w:ilvl w:val="0"/>
          <w:numId w:val="2"/>
        </w:numPr>
        <w:spacing w:after="0" w:before="40"/>
      </w:pPr>
      <w:r>
        <w:rPr>
          <w:rFonts w:ascii="Arial" w:cs="Arial" w:eastAsia="Arial" w:hAnsi="Arial"/>
          <w:sz w:val="22"/>
          <w:szCs w:val="22"/>
        </w:rPr>
        <w:t xml:space="preserve">Email domain on disposable-email blocklist → silent reject.</w:t>
      </w:r>
    </w:p>
    <w:p>
      <w:pPr>
        <w:pStyle w:val="ListParagraph"/>
        <w:numPr>
          <w:ilvl w:val="1"/>
          <w:numId w:val="2"/>
        </w:numPr>
        <w:spacing w:after="80" w:before="0"/>
      </w:pPr>
      <w:r>
        <w:rPr>
          <w:rFonts w:ascii="Arial" w:cs="Arial" w:eastAsia="Arial" w:hAnsi="Arial"/>
          <w:i/>
          <w:iCs/>
          <w:color w:val="1A3C2E"/>
          <w:sz w:val="22"/>
          <w:szCs w:val="22"/>
        </w:rPr>
        <w:t xml:space="preserve">Domain email trong blocklist disposable → silent reject.</w:t>
      </w:r>
    </w:p>
    <w:p>
      <w:pPr>
        <w:pStyle w:val="ListParagraph"/>
        <w:numPr>
          <w:ilvl w:val="0"/>
          <w:numId w:val="2"/>
        </w:numPr>
        <w:spacing w:after="0" w:before="40"/>
      </w:pPr>
      <w:r>
        <w:rPr>
          <w:rFonts w:ascii="Arial" w:cs="Arial" w:eastAsia="Arial" w:hAnsi="Arial"/>
          <w:sz w:val="22"/>
          <w:szCs w:val="22"/>
        </w:rPr>
        <w:t xml:space="preserve">Same IP/email submitting &gt; 3 times in 30 days → throttle and require LinkedIn verification.</w:t>
      </w:r>
    </w:p>
    <w:p>
      <w:pPr>
        <w:pStyle w:val="ListParagraph"/>
        <w:numPr>
          <w:ilvl w:val="1"/>
          <w:numId w:val="2"/>
        </w:numPr>
        <w:spacing w:after="80" w:before="0"/>
      </w:pPr>
      <w:r>
        <w:rPr>
          <w:rFonts w:ascii="Arial" w:cs="Arial" w:eastAsia="Arial" w:hAnsi="Arial"/>
          <w:i/>
          <w:iCs/>
          <w:color w:val="1A3C2E"/>
          <w:sz w:val="22"/>
          <w:szCs w:val="22"/>
        </w:rPr>
        <w:t xml:space="preserve">Cùng IP/email gửi &gt;3 lần trong 30 ngày → throttle và yêu cầu xác minh LinkedIn.</w:t>
      </w:r>
    </w:p>
    <w:p>
      <w:pPr>
        <w:pStyle w:val="Heading2"/>
        <w:spacing w:after="120" w:before="240"/>
      </w:pPr>
      <w:r>
        <w:rPr>
          <w:rFonts w:ascii="Arial" w:cs="Arial" w:eastAsia="Arial" w:hAnsi="Arial"/>
          <w:b/>
          <w:bCs/>
          <w:sz w:val="26"/>
          <w:szCs w:val="26"/>
        </w:rPr>
        <w:t xml:space="preserve">Lead scoring (internal)</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Chấm điểm lead (nội bộ)</w:t>
      </w:r>
    </w:p>
    <w:p>
      <w:pPr>
        <w:pStyle w:val="ListParagraph"/>
        <w:numPr>
          <w:ilvl w:val="0"/>
          <w:numId w:val="2"/>
        </w:numPr>
        <w:spacing w:after="0" w:before="40"/>
      </w:pPr>
      <w:r>
        <w:rPr>
          <w:rFonts w:ascii="Arial" w:cs="Arial" w:eastAsia="Arial" w:hAnsi="Arial"/>
          <w:sz w:val="22"/>
          <w:szCs w:val="22"/>
        </w:rPr>
        <w:t xml:space="preserve">+10 for asset value $250K+, +20 for $1M+, +30 for $5M+.</w:t>
      </w:r>
    </w:p>
    <w:p>
      <w:pPr>
        <w:pStyle w:val="ListParagraph"/>
        <w:numPr>
          <w:ilvl w:val="1"/>
          <w:numId w:val="2"/>
        </w:numPr>
        <w:spacing w:after="80" w:before="0"/>
      </w:pPr>
      <w:r>
        <w:rPr>
          <w:rFonts w:ascii="Arial" w:cs="Arial" w:eastAsia="Arial" w:hAnsi="Arial"/>
          <w:i/>
          <w:iCs/>
          <w:color w:val="1A3C2E"/>
          <w:sz w:val="22"/>
          <w:szCs w:val="22"/>
        </w:rPr>
        <w:t xml:space="preserve">+10 cho tài sản $250K+, +20 cho $1M+, +30 cho $5M+.</w:t>
      </w:r>
    </w:p>
    <w:p>
      <w:pPr>
        <w:pStyle w:val="ListParagraph"/>
        <w:numPr>
          <w:ilvl w:val="0"/>
          <w:numId w:val="2"/>
        </w:numPr>
        <w:spacing w:after="0" w:before="40"/>
      </w:pPr>
      <w:r>
        <w:rPr>
          <w:rFonts w:ascii="Arial" w:cs="Arial" w:eastAsia="Arial" w:hAnsi="Arial"/>
          <w:sz w:val="22"/>
          <w:szCs w:val="22"/>
        </w:rPr>
        <w:t xml:space="preserve">+15 for full documentation status.</w:t>
      </w:r>
    </w:p>
    <w:p>
      <w:pPr>
        <w:pStyle w:val="ListParagraph"/>
        <w:numPr>
          <w:ilvl w:val="1"/>
          <w:numId w:val="2"/>
        </w:numPr>
        <w:spacing w:after="80" w:before="0"/>
      </w:pPr>
      <w:r>
        <w:rPr>
          <w:rFonts w:ascii="Arial" w:cs="Arial" w:eastAsia="Arial" w:hAnsi="Arial"/>
          <w:i/>
          <w:iCs/>
          <w:color w:val="1A3C2E"/>
          <w:sz w:val="22"/>
          <w:szCs w:val="22"/>
        </w:rPr>
        <w:t xml:space="preserve">+15 cho giấy tờ đầy đủ.</w:t>
      </w:r>
    </w:p>
    <w:p>
      <w:pPr>
        <w:pStyle w:val="ListParagraph"/>
        <w:numPr>
          <w:ilvl w:val="0"/>
          <w:numId w:val="2"/>
        </w:numPr>
        <w:spacing w:after="0" w:before="40"/>
      </w:pPr>
      <w:r>
        <w:rPr>
          <w:rFonts w:ascii="Arial" w:cs="Arial" w:eastAsia="Arial" w:hAnsi="Arial"/>
          <w:sz w:val="22"/>
          <w:szCs w:val="22"/>
        </w:rPr>
        <w:t xml:space="preserve">+10 for company email (not gmail/yahoo).</w:t>
      </w:r>
    </w:p>
    <w:p>
      <w:pPr>
        <w:pStyle w:val="ListParagraph"/>
        <w:numPr>
          <w:ilvl w:val="1"/>
          <w:numId w:val="2"/>
        </w:numPr>
        <w:spacing w:after="80" w:before="0"/>
      </w:pPr>
      <w:r>
        <w:rPr>
          <w:rFonts w:ascii="Arial" w:cs="Arial" w:eastAsia="Arial" w:hAnsi="Arial"/>
          <w:i/>
          <w:iCs/>
          <w:color w:val="1A3C2E"/>
          <w:sz w:val="22"/>
          <w:szCs w:val="22"/>
        </w:rPr>
        <w:t xml:space="preserve">+10 cho email công ty (không phải gmail/yahoo).</w:t>
      </w:r>
    </w:p>
    <w:p>
      <w:pPr>
        <w:pStyle w:val="ListParagraph"/>
        <w:numPr>
          <w:ilvl w:val="0"/>
          <w:numId w:val="2"/>
        </w:numPr>
        <w:spacing w:after="0" w:before="40"/>
      </w:pPr>
      <w:r>
        <w:rPr>
          <w:rFonts w:ascii="Arial" w:cs="Arial" w:eastAsia="Arial" w:hAnsi="Arial"/>
          <w:sz w:val="22"/>
          <w:szCs w:val="22"/>
        </w:rPr>
        <w:t xml:space="preserve">+10 for already engaged with a lawyer.</w:t>
      </w:r>
    </w:p>
    <w:p>
      <w:pPr>
        <w:pStyle w:val="ListParagraph"/>
        <w:numPr>
          <w:ilvl w:val="1"/>
          <w:numId w:val="2"/>
        </w:numPr>
        <w:spacing w:after="80" w:before="0"/>
      </w:pPr>
      <w:r>
        <w:rPr>
          <w:rFonts w:ascii="Arial" w:cs="Arial" w:eastAsia="Arial" w:hAnsi="Arial"/>
          <w:i/>
          <w:iCs/>
          <w:color w:val="1A3C2E"/>
          <w:sz w:val="22"/>
          <w:szCs w:val="22"/>
        </w:rPr>
        <w:t xml:space="preserve">+10 cho đã làm việc với luật sư.</w:t>
      </w:r>
    </w:p>
    <w:p>
      <w:pPr>
        <w:pStyle w:val="ListParagraph"/>
        <w:numPr>
          <w:ilvl w:val="0"/>
          <w:numId w:val="2"/>
        </w:numPr>
        <w:spacing w:after="0" w:before="40"/>
      </w:pPr>
      <w:r>
        <w:rPr>
          <w:rFonts w:ascii="Arial" w:cs="Arial" w:eastAsia="Arial" w:hAnsi="Arial"/>
          <w:sz w:val="22"/>
          <w:szCs w:val="22"/>
        </w:rPr>
        <w:t xml:space="preserve">+10 for target raise &gt; $100K.</w:t>
      </w:r>
    </w:p>
    <w:p>
      <w:pPr>
        <w:pStyle w:val="ListParagraph"/>
        <w:numPr>
          <w:ilvl w:val="1"/>
          <w:numId w:val="2"/>
        </w:numPr>
        <w:spacing w:after="80" w:before="0"/>
      </w:pPr>
      <w:r>
        <w:rPr>
          <w:rFonts w:ascii="Arial" w:cs="Arial" w:eastAsia="Arial" w:hAnsi="Arial"/>
          <w:i/>
          <w:iCs/>
          <w:color w:val="1A3C2E"/>
          <w:sz w:val="22"/>
          <w:szCs w:val="22"/>
        </w:rPr>
        <w:t xml:space="preserve">+10 cho raise &gt; $100K.</w:t>
      </w:r>
    </w:p>
    <w:p>
      <w:pPr>
        <w:pStyle w:val="ListParagraph"/>
        <w:numPr>
          <w:ilvl w:val="0"/>
          <w:numId w:val="2"/>
        </w:numPr>
        <w:spacing w:after="0" w:before="40"/>
      </w:pPr>
      <w:r>
        <w:rPr>
          <w:rFonts w:ascii="Arial" w:cs="Arial" w:eastAsia="Arial" w:hAnsi="Arial"/>
          <w:sz w:val="22"/>
          <w:szCs w:val="22"/>
        </w:rPr>
        <w:t xml:space="preserve">Score &gt;= 50 → priority reply within 24h, offer Diagnostic. Score 25–49 → standard 48h reply with Self-Check report. Score &lt; 25 → templated email, no human time.</w:t>
      </w:r>
    </w:p>
    <w:p>
      <w:pPr>
        <w:pStyle w:val="ListParagraph"/>
        <w:numPr>
          <w:ilvl w:val="1"/>
          <w:numId w:val="2"/>
        </w:numPr>
        <w:spacing w:after="80" w:before="0"/>
      </w:pPr>
      <w:r>
        <w:rPr>
          <w:rFonts w:ascii="Arial" w:cs="Arial" w:eastAsia="Arial" w:hAnsi="Arial"/>
          <w:i/>
          <w:iCs/>
          <w:color w:val="1A3C2E"/>
          <w:sz w:val="22"/>
          <w:szCs w:val="22"/>
        </w:rPr>
        <w:t xml:space="preserve">Điểm ≥ 50 → ưu tiên trả lời trong 24h, mời Diagnostic. Điểm 25–49 → trả lời chuẩn 48h kèm Self-Check. Điểm &lt; 25 → email mẫu, không tốn giờ người.</w:t>
      </w:r>
    </w:p>
    <w:p>
      <w:pPr>
        <w:pStyle w:val="Heading1"/>
        <w:spacing w:after="160" w:before="360"/>
      </w:pPr>
      <w:r>
        <w:rPr>
          <w:rFonts w:ascii="Arial" w:cs="Arial" w:eastAsia="Arial" w:hAnsi="Arial"/>
          <w:b/>
          <w:bCs/>
          <w:sz w:val="32"/>
          <w:szCs w:val="32"/>
        </w:rPr>
        <w:t xml:space="preserve">7. Information architecture</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7. Kiến trúc thông tin</w:t>
      </w:r>
    </w:p>
    <w:p>
      <w:pPr>
        <w:spacing w:after="0" w:before="60"/>
      </w:pPr>
      <w:r>
        <w:rPr>
          <w:rFonts w:ascii="Arial" w:cs="Arial" w:eastAsia="Arial" w:hAnsi="Arial"/>
          <w:sz w:val="22"/>
          <w:szCs w:val="22"/>
        </w:rPr>
        <w:t xml:space="preserve">Lean. Six pages maximum. No marketing fat. Every page must move the visitor toward the intake form or the Diagnostic checkout.</w:t>
      </w:r>
    </w:p>
    <w:p>
      <w:pPr>
        <w:spacing w:after="120" w:before="0"/>
      </w:pPr>
      <w:r>
        <w:rPr>
          <w:rFonts w:ascii="Arial" w:cs="Arial" w:eastAsia="Arial" w:hAnsi="Arial"/>
          <w:i/>
          <w:iCs/>
          <w:color w:val="1A3C2E"/>
          <w:sz w:val="22"/>
          <w:szCs w:val="22"/>
        </w:rPr>
        <w:t xml:space="preserve">Tối giản. Tối đa sáu trang. Không có "mỡ" marketing. Mỗi trang phải đẩy người xem về intake form hoặc checkout Diagnostic.</w:t>
      </w:r>
    </w:p>
    <w:p>
      <w:pPr>
        <w:pStyle w:val="Heading2"/>
        <w:spacing w:after="120" w:before="240"/>
      </w:pPr>
      <w:r>
        <w:rPr>
          <w:rFonts w:ascii="Arial" w:cs="Arial" w:eastAsia="Arial" w:hAnsi="Arial"/>
          <w:b/>
          <w:bCs/>
          <w:sz w:val="26"/>
          <w:szCs w:val="26"/>
        </w:rPr>
        <w:t xml:space="preserve">Pages</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Các trang</w:t>
      </w:r>
    </w:p>
    <w:p>
      <w:pPr>
        <w:pStyle w:val="ListParagraph"/>
        <w:numPr>
          <w:ilvl w:val="0"/>
          <w:numId w:val="2"/>
        </w:numPr>
        <w:spacing w:after="0" w:before="40"/>
      </w:pPr>
      <w:r>
        <w:rPr>
          <w:rFonts w:ascii="Arial" w:cs="Arial" w:eastAsia="Arial" w:hAnsi="Arial"/>
          <w:sz w:val="22"/>
          <w:szCs w:val="22"/>
        </w:rPr>
        <w:t xml:space="preserve">/ (Home) — Hero + 3-tier service ladder + 60-second "how it works" + social proof + final CTA.</w:t>
      </w:r>
    </w:p>
    <w:p>
      <w:pPr>
        <w:pStyle w:val="ListParagraph"/>
        <w:numPr>
          <w:ilvl w:val="1"/>
          <w:numId w:val="2"/>
        </w:numPr>
        <w:spacing w:after="80" w:before="0"/>
      </w:pPr>
      <w:r>
        <w:rPr>
          <w:rFonts w:ascii="Arial" w:cs="Arial" w:eastAsia="Arial" w:hAnsi="Arial"/>
          <w:i/>
          <w:iCs/>
          <w:color w:val="1A3C2E"/>
          <w:sz w:val="22"/>
          <w:szCs w:val="22"/>
        </w:rPr>
        <w:t xml:space="preserve">/ (Trang chủ) — Hero + 3 tầng dịch vụ + "how it works" 60 giây + social proof + CTA cuối.</w:t>
      </w:r>
    </w:p>
    <w:p>
      <w:pPr>
        <w:pStyle w:val="ListParagraph"/>
        <w:numPr>
          <w:ilvl w:val="0"/>
          <w:numId w:val="2"/>
        </w:numPr>
        <w:spacing w:after="0" w:before="40"/>
      </w:pPr>
      <w:r>
        <w:rPr>
          <w:rFonts w:ascii="Arial" w:cs="Arial" w:eastAsia="Arial" w:hAnsi="Arial"/>
          <w:sz w:val="22"/>
          <w:szCs w:val="22"/>
        </w:rPr>
        <w:t xml:space="preserve">/services — Detailed breakdown of each tier with FAQs per tier.</w:t>
      </w:r>
    </w:p>
    <w:p>
      <w:pPr>
        <w:pStyle w:val="ListParagraph"/>
        <w:numPr>
          <w:ilvl w:val="1"/>
          <w:numId w:val="2"/>
        </w:numPr>
        <w:spacing w:after="80" w:before="0"/>
      </w:pPr>
      <w:r>
        <w:rPr>
          <w:rFonts w:ascii="Arial" w:cs="Arial" w:eastAsia="Arial" w:hAnsi="Arial"/>
          <w:i/>
          <w:iCs/>
          <w:color w:val="1A3C2E"/>
          <w:sz w:val="22"/>
          <w:szCs w:val="22"/>
        </w:rPr>
        <w:t xml:space="preserve">/services — Chi tiết từng tầng kèm FAQ riêng.</w:t>
      </w:r>
    </w:p>
    <w:p>
      <w:pPr>
        <w:pStyle w:val="ListParagraph"/>
        <w:numPr>
          <w:ilvl w:val="0"/>
          <w:numId w:val="2"/>
        </w:numPr>
        <w:spacing w:after="0" w:before="40"/>
      </w:pPr>
      <w:r>
        <w:rPr>
          <w:rFonts w:ascii="Arial" w:cs="Arial" w:eastAsia="Arial" w:hAnsi="Arial"/>
          <w:sz w:val="22"/>
          <w:szCs w:val="22"/>
        </w:rPr>
        <w:t xml:space="preserve">/diagnostic — Dedicated checkout page for the $400 product. Calendar booking + Stripe + Wise USD.</w:t>
      </w:r>
    </w:p>
    <w:p>
      <w:pPr>
        <w:pStyle w:val="ListParagraph"/>
        <w:numPr>
          <w:ilvl w:val="1"/>
          <w:numId w:val="2"/>
        </w:numPr>
        <w:spacing w:after="80" w:before="0"/>
      </w:pPr>
      <w:r>
        <w:rPr>
          <w:rFonts w:ascii="Arial" w:cs="Arial" w:eastAsia="Arial" w:hAnsi="Arial"/>
          <w:i/>
          <w:iCs/>
          <w:color w:val="1A3C2E"/>
          <w:sz w:val="22"/>
          <w:szCs w:val="22"/>
        </w:rPr>
        <w:t xml:space="preserve">/diagnostic — Trang checkout riêng cho gói $400. Booking lịch + Stripe + Wise USD.</w:t>
      </w:r>
    </w:p>
    <w:p>
      <w:pPr>
        <w:pStyle w:val="ListParagraph"/>
        <w:numPr>
          <w:ilvl w:val="0"/>
          <w:numId w:val="2"/>
        </w:numPr>
        <w:spacing w:after="0" w:before="40"/>
      </w:pPr>
      <w:r>
        <w:rPr>
          <w:rFonts w:ascii="Arial" w:cs="Arial" w:eastAsia="Arial" w:hAnsi="Arial"/>
          <w:sz w:val="22"/>
          <w:szCs w:val="22"/>
        </w:rPr>
        <w:t xml:space="preserve">/start (Self-Check) — Long-form intake. Single page, save &amp; resume. The conversion engine of the site.</w:t>
      </w:r>
    </w:p>
    <w:p>
      <w:pPr>
        <w:pStyle w:val="ListParagraph"/>
        <w:numPr>
          <w:ilvl w:val="1"/>
          <w:numId w:val="2"/>
        </w:numPr>
        <w:spacing w:after="80" w:before="0"/>
      </w:pPr>
      <w:r>
        <w:rPr>
          <w:rFonts w:ascii="Arial" w:cs="Arial" w:eastAsia="Arial" w:hAnsi="Arial"/>
          <w:i/>
          <w:iCs/>
          <w:color w:val="1A3C2E"/>
          <w:sz w:val="22"/>
          <w:szCs w:val="22"/>
        </w:rPr>
        <w:t xml:space="preserve">/start (Self-Check) — Intake form dài, một trang, save &amp; resume. "Engine" chuyển đổi của site.</w:t>
      </w:r>
    </w:p>
    <w:p>
      <w:pPr>
        <w:pStyle w:val="ListParagraph"/>
        <w:numPr>
          <w:ilvl w:val="0"/>
          <w:numId w:val="2"/>
        </w:numPr>
        <w:spacing w:after="0" w:before="40"/>
      </w:pPr>
      <w:r>
        <w:rPr>
          <w:rFonts w:ascii="Arial" w:cs="Arial" w:eastAsia="Arial" w:hAnsi="Arial"/>
          <w:sz w:val="22"/>
          <w:szCs w:val="22"/>
        </w:rPr>
        <w:t xml:space="preserve">/insights — Editorial blog. SEO play. Republished and curated from medium.com/@demonopolrwa with new exclusive long-form pieces.</w:t>
      </w:r>
    </w:p>
    <w:p>
      <w:pPr>
        <w:pStyle w:val="ListParagraph"/>
        <w:numPr>
          <w:ilvl w:val="1"/>
          <w:numId w:val="2"/>
        </w:numPr>
        <w:spacing w:after="80" w:before="0"/>
      </w:pPr>
      <w:r>
        <w:rPr>
          <w:rFonts w:ascii="Arial" w:cs="Arial" w:eastAsia="Arial" w:hAnsi="Arial"/>
          <w:i/>
          <w:iCs/>
          <w:color w:val="1A3C2E"/>
          <w:sz w:val="22"/>
          <w:szCs w:val="22"/>
        </w:rPr>
        <w:t xml:space="preserve">/insights — Blog editorial. Đẩy SEO. Đăng lại và biên tập từ medium.com/@demonopolrwa kèm các bài độc quyền dài.</w:t>
      </w:r>
    </w:p>
    <w:p>
      <w:pPr>
        <w:pStyle w:val="ListParagraph"/>
        <w:numPr>
          <w:ilvl w:val="0"/>
          <w:numId w:val="2"/>
        </w:numPr>
        <w:spacing w:after="0" w:before="40"/>
      </w:pPr>
      <w:r>
        <w:rPr>
          <w:rFonts w:ascii="Arial" w:cs="Arial" w:eastAsia="Arial" w:hAnsi="Arial"/>
          <w:sz w:val="22"/>
          <w:szCs w:val="22"/>
        </w:rPr>
        <w:t xml:space="preserve">/about — Team, partners, ecosystem, contact, legal disclaimers.</w:t>
      </w:r>
    </w:p>
    <w:p>
      <w:pPr>
        <w:pStyle w:val="ListParagraph"/>
        <w:numPr>
          <w:ilvl w:val="1"/>
          <w:numId w:val="2"/>
        </w:numPr>
        <w:spacing w:after="80" w:before="0"/>
      </w:pPr>
      <w:r>
        <w:rPr>
          <w:rFonts w:ascii="Arial" w:cs="Arial" w:eastAsia="Arial" w:hAnsi="Arial"/>
          <w:i/>
          <w:iCs/>
          <w:color w:val="1A3C2E"/>
          <w:sz w:val="22"/>
          <w:szCs w:val="22"/>
        </w:rPr>
        <w:t xml:space="preserve">/about — Team, đối tác, hệ sinh thái, liên hệ, miễn trừ pháp lý.</w:t>
      </w:r>
    </w:p>
    <w:p>
      <w:pPr>
        <w:pStyle w:val="Heading1"/>
        <w:spacing w:after="160" w:before="360"/>
      </w:pPr>
      <w:r>
        <w:rPr>
          <w:rFonts w:ascii="Arial" w:cs="Arial" w:eastAsia="Arial" w:hAnsi="Arial"/>
          <w:b/>
          <w:bCs/>
          <w:sz w:val="32"/>
          <w:szCs w:val="32"/>
        </w:rPr>
        <w:t xml:space="preserve">8. Page-by-page content brief</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8. Brief nội dung từng trang</w:t>
      </w:r>
    </w:p>
    <w:p>
      <w:pPr>
        <w:pStyle w:val="Heading2"/>
        <w:spacing w:after="120" w:before="240"/>
      </w:pPr>
      <w:r>
        <w:rPr>
          <w:rFonts w:ascii="Arial" w:cs="Arial" w:eastAsia="Arial" w:hAnsi="Arial"/>
          <w:b/>
          <w:bCs/>
          <w:sz w:val="26"/>
          <w:szCs w:val="26"/>
        </w:rPr>
        <w:t xml:space="preserve">Home (/)</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Trang chủ (/)</w:t>
      </w:r>
    </w:p>
    <w:p>
      <w:pPr>
        <w:spacing w:after="40" w:before="100"/>
      </w:pPr>
      <w:r>
        <w:rPr>
          <w:rFonts w:ascii="Arial" w:cs="Arial" w:eastAsia="Arial" w:hAnsi="Arial"/>
          <w:b/>
          <w:bCs/>
          <w:color w:val="1A3C2E"/>
          <w:sz w:val="22"/>
          <w:szCs w:val="22"/>
        </w:rPr>
        <w:t xml:space="preserve">Hero — </w:t>
      </w:r>
    </w:p>
    <w:p>
      <w:pPr>
        <w:spacing w:after="80" w:before="0"/>
        <w:ind w:left="240"/>
      </w:pPr>
      <w:r>
        <w:rPr>
          <w:rFonts w:ascii="Arial" w:cs="Arial" w:eastAsia="Arial" w:hAnsi="Arial"/>
          <w:sz w:val="22"/>
          <w:szCs w:val="22"/>
        </w:rPr>
        <w:t xml:space="preserve">Headline: "Tokenize what you own." | "Token hóa những gì bạn sở hữu." Subhead in EN: "From your first asset to your first investor — one ecosystem. Real estate, receivables, IP, art, private credit." Primary CTA: "Start Free Self-Check". Secondary CTA: "Book a $400 Diagnostic".</w:t>
      </w:r>
    </w:p>
    <w:p>
      <w:pPr>
        <w:spacing w:after="40" w:before="100"/>
      </w:pPr>
      <w:r>
        <w:rPr>
          <w:rFonts w:ascii="Arial" w:cs="Arial" w:eastAsia="Arial" w:hAnsi="Arial"/>
          <w:b/>
          <w:bCs/>
          <w:color w:val="1A3C2E"/>
          <w:sz w:val="22"/>
          <w:szCs w:val="22"/>
        </w:rPr>
        <w:t xml:space="preserve">Three-card service ladder — </w:t>
      </w:r>
    </w:p>
    <w:p>
      <w:pPr>
        <w:spacing w:after="80" w:before="0"/>
        <w:ind w:left="240"/>
      </w:pPr>
      <w:r>
        <w:rPr>
          <w:rFonts w:ascii="Arial" w:cs="Arial" w:eastAsia="Arial" w:hAnsi="Arial"/>
          <w:sz w:val="22"/>
          <w:szCs w:val="22"/>
        </w:rPr>
        <w:t xml:space="preserve">Self-Check (free), Diagnostic ($400), Promotion Boost ($200) — visually anchored. Mandate is mentioned as "talk to us after Diagnostic" — never priced publicly.</w:t>
      </w:r>
    </w:p>
    <w:p>
      <w:pPr>
        <w:spacing w:after="40" w:before="100"/>
      </w:pPr>
      <w:r>
        <w:rPr>
          <w:rFonts w:ascii="Arial" w:cs="Arial" w:eastAsia="Arial" w:hAnsi="Arial"/>
          <w:b/>
          <w:bCs/>
          <w:color w:val="1A3C2E"/>
          <w:sz w:val="22"/>
          <w:szCs w:val="22"/>
        </w:rPr>
        <w:t xml:space="preserve">How it works (4 steps) — </w:t>
      </w:r>
    </w:p>
    <w:p>
      <w:pPr>
        <w:spacing w:after="80" w:before="0"/>
        <w:ind w:left="240"/>
      </w:pPr>
      <w:r>
        <w:rPr>
          <w:rFonts w:ascii="Arial" w:cs="Arial" w:eastAsia="Arial" w:hAnsi="Arial"/>
          <w:sz w:val="22"/>
          <w:szCs w:val="22"/>
        </w:rPr>
        <w:t xml:space="preserve">1. You fill the Self-Check. 2. We assess. 3. We diagnose (Diagnostic). 4. We tokenize and distribute on Demonopol rails.</w:t>
      </w:r>
    </w:p>
    <w:p>
      <w:pPr>
        <w:spacing w:after="40" w:before="100"/>
      </w:pPr>
      <w:r>
        <w:rPr>
          <w:rFonts w:ascii="Arial" w:cs="Arial" w:eastAsia="Arial" w:hAnsi="Arial"/>
          <w:b/>
          <w:bCs/>
          <w:color w:val="1A3C2E"/>
          <w:sz w:val="22"/>
          <w:szCs w:val="22"/>
        </w:rPr>
        <w:t xml:space="preserve">Trust strip — </w:t>
      </w:r>
    </w:p>
    <w:p>
      <w:pPr>
        <w:spacing w:after="80" w:before="0"/>
        <w:ind w:left="240"/>
      </w:pPr>
      <w:r>
        <w:rPr>
          <w:rFonts w:ascii="Arial" w:cs="Arial" w:eastAsia="Arial" w:hAnsi="Arial"/>
          <w:sz w:val="22"/>
          <w:szCs w:val="22"/>
        </w:rPr>
        <w:t xml:space="preserve">Demonopol ecosystem badges: Sui Network, $MONO, Tokenization Protocol, DAO. Real numbers from rwa.xyz / market sources, sourced.</w:t>
      </w:r>
    </w:p>
    <w:p>
      <w:pPr>
        <w:spacing w:after="40" w:before="100"/>
      </w:pPr>
      <w:r>
        <w:rPr>
          <w:rFonts w:ascii="Arial" w:cs="Arial" w:eastAsia="Arial" w:hAnsi="Arial"/>
          <w:b/>
          <w:bCs/>
          <w:color w:val="1A3C2E"/>
          <w:sz w:val="22"/>
          <w:szCs w:val="22"/>
        </w:rPr>
        <w:t xml:space="preserve">Final CTA — </w:t>
      </w:r>
    </w:p>
    <w:p>
      <w:pPr>
        <w:spacing w:after="80" w:before="0"/>
        <w:ind w:left="240"/>
      </w:pPr>
      <w:r>
        <w:rPr>
          <w:rFonts w:ascii="Arial" w:cs="Arial" w:eastAsia="Arial" w:hAnsi="Arial"/>
          <w:sz w:val="22"/>
          <w:szCs w:val="22"/>
        </w:rPr>
        <w:t xml:space="preserve">Repeat Self-Check + Diagnostic CTAs. Newsletter capture below.</w:t>
      </w:r>
    </w:p>
    <w:p>
      <w:pPr>
        <w:pStyle w:val="Heading2"/>
        <w:spacing w:after="120" w:before="240"/>
      </w:pPr>
      <w:r>
        <w:rPr>
          <w:rFonts w:ascii="Arial" w:cs="Arial" w:eastAsia="Arial" w:hAnsi="Arial"/>
          <w:b/>
          <w:bCs/>
          <w:sz w:val="26"/>
          <w:szCs w:val="26"/>
        </w:rPr>
        <w:t xml:space="preserve">Services (/services)</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Dịch vụ (/services)</w:t>
      </w:r>
    </w:p>
    <w:p>
      <w:pPr>
        <w:spacing w:after="0" w:before="60"/>
      </w:pPr>
      <w:r>
        <w:rPr>
          <w:rFonts w:ascii="Arial" w:cs="Arial" w:eastAsia="Arial" w:hAnsi="Arial"/>
          <w:sz w:val="22"/>
          <w:szCs w:val="22"/>
        </w:rPr>
        <w:t xml:space="preserve">For each tier: what you get / what you do not get / who it is for / what it costs / what comes next. Use a comparison table at the top of the page identical to Section 4 of this document.</w:t>
      </w:r>
    </w:p>
    <w:p>
      <w:pPr>
        <w:spacing w:after="120" w:before="0"/>
      </w:pPr>
      <w:r>
        <w:rPr>
          <w:rFonts w:ascii="Arial" w:cs="Arial" w:eastAsia="Arial" w:hAnsi="Arial"/>
          <w:i/>
          <w:iCs/>
          <w:color w:val="1A3C2E"/>
          <w:sz w:val="22"/>
          <w:szCs w:val="22"/>
        </w:rPr>
        <w:t xml:space="preserve">Mỗi tầng: nhận gì / không nhận gì / dành cho ai / giá / bước tiếp theo. Dùng bảng so sánh giống Mục 4 của tài liệu này ở đầu trang.</w:t>
      </w:r>
    </w:p>
    <w:p>
      <w:pPr>
        <w:pStyle w:val="Heading2"/>
        <w:spacing w:after="120" w:before="240"/>
      </w:pPr>
      <w:r>
        <w:rPr>
          <w:rFonts w:ascii="Arial" w:cs="Arial" w:eastAsia="Arial" w:hAnsi="Arial"/>
          <w:b/>
          <w:bCs/>
          <w:sz w:val="26"/>
          <w:szCs w:val="26"/>
        </w:rPr>
        <w:t xml:space="preserve">Diagnostic (/diagnostic)</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Diagnostic (/diagnostic)</w:t>
      </w:r>
    </w:p>
    <w:p>
      <w:pPr>
        <w:pStyle w:val="ListParagraph"/>
        <w:numPr>
          <w:ilvl w:val="0"/>
          <w:numId w:val="2"/>
        </w:numPr>
        <w:spacing w:after="0" w:before="40"/>
      </w:pPr>
      <w:r>
        <w:rPr>
          <w:rFonts w:ascii="Arial" w:cs="Arial" w:eastAsia="Arial" w:hAnsi="Arial"/>
          <w:sz w:val="22"/>
          <w:szCs w:val="22"/>
        </w:rPr>
        <w:t xml:space="preserve">What you get: 60–90 min expert call + bilingual 6–8 page report. List exact deliverable headings.</w:t>
      </w:r>
    </w:p>
    <w:p>
      <w:pPr>
        <w:pStyle w:val="ListParagraph"/>
        <w:numPr>
          <w:ilvl w:val="1"/>
          <w:numId w:val="2"/>
        </w:numPr>
        <w:spacing w:after="80" w:before="0"/>
      </w:pPr>
      <w:r>
        <w:rPr>
          <w:rFonts w:ascii="Arial" w:cs="Arial" w:eastAsia="Arial" w:hAnsi="Arial"/>
          <w:i/>
          <w:iCs/>
          <w:color w:val="1A3C2E"/>
          <w:sz w:val="22"/>
          <w:szCs w:val="22"/>
        </w:rPr>
        <w:t xml:space="preserve">Nhận gì: cuộc gọi 60–90 phút + báo cáo song ngữ 6–8 trang. Liệt kê tiêu đề từng phần báo cáo.</w:t>
      </w:r>
    </w:p>
    <w:p>
      <w:pPr>
        <w:pStyle w:val="ListParagraph"/>
        <w:numPr>
          <w:ilvl w:val="0"/>
          <w:numId w:val="2"/>
        </w:numPr>
        <w:spacing w:after="0" w:before="40"/>
      </w:pPr>
      <w:r>
        <w:rPr>
          <w:rFonts w:ascii="Arial" w:cs="Arial" w:eastAsia="Arial" w:hAnsi="Arial"/>
          <w:sz w:val="22"/>
          <w:szCs w:val="22"/>
        </w:rPr>
        <w:t xml:space="preserve">Who runs the call: Guillaume Provent + analyst.</w:t>
      </w:r>
    </w:p>
    <w:p>
      <w:pPr>
        <w:pStyle w:val="ListParagraph"/>
        <w:numPr>
          <w:ilvl w:val="1"/>
          <w:numId w:val="2"/>
        </w:numPr>
        <w:spacing w:after="80" w:before="0"/>
      </w:pPr>
      <w:r>
        <w:rPr>
          <w:rFonts w:ascii="Arial" w:cs="Arial" w:eastAsia="Arial" w:hAnsi="Arial"/>
          <w:i/>
          <w:iCs/>
          <w:color w:val="1A3C2E"/>
          <w:sz w:val="22"/>
          <w:szCs w:val="22"/>
        </w:rPr>
        <w:t xml:space="preserve">Người dẫn cuộc gọi: Guillaume Provent + analyst.</w:t>
      </w:r>
    </w:p>
    <w:p>
      <w:pPr>
        <w:pStyle w:val="ListParagraph"/>
        <w:numPr>
          <w:ilvl w:val="0"/>
          <w:numId w:val="2"/>
        </w:numPr>
        <w:spacing w:after="0" w:before="40"/>
      </w:pPr>
      <w:r>
        <w:rPr>
          <w:rFonts w:ascii="Arial" w:cs="Arial" w:eastAsia="Arial" w:hAnsi="Arial"/>
          <w:sz w:val="22"/>
          <w:szCs w:val="22"/>
        </w:rPr>
        <w:t xml:space="preserve">Money-back guarantee: full refund if we determine your asset is unsuitable for tokenization within the first 15 minutes of the call.</w:t>
      </w:r>
    </w:p>
    <w:p>
      <w:pPr>
        <w:pStyle w:val="ListParagraph"/>
        <w:numPr>
          <w:ilvl w:val="1"/>
          <w:numId w:val="2"/>
        </w:numPr>
        <w:spacing w:after="80" w:before="0"/>
      </w:pPr>
      <w:r>
        <w:rPr>
          <w:rFonts w:ascii="Arial" w:cs="Arial" w:eastAsia="Arial" w:hAnsi="Arial"/>
          <w:i/>
          <w:iCs/>
          <w:color w:val="1A3C2E"/>
          <w:sz w:val="22"/>
          <w:szCs w:val="22"/>
        </w:rPr>
        <w:t xml:space="preserve">Cam kết hoàn tiền: hoàn 100% nếu trong 15 phút đầu chúng tôi xác định tài sản không phù hợp.</w:t>
      </w:r>
    </w:p>
    <w:p>
      <w:pPr>
        <w:pStyle w:val="ListParagraph"/>
        <w:numPr>
          <w:ilvl w:val="0"/>
          <w:numId w:val="2"/>
        </w:numPr>
        <w:spacing w:after="0" w:before="40"/>
      </w:pPr>
      <w:r>
        <w:rPr>
          <w:rFonts w:ascii="Arial" w:cs="Arial" w:eastAsia="Arial" w:hAnsi="Arial"/>
          <w:sz w:val="22"/>
          <w:szCs w:val="22"/>
        </w:rPr>
        <w:t xml:space="preserve">Booking: Cal.com or similar. Payment: Stripe (cards) + Wise USD (Guillaume Provent) for direct bank.</w:t>
      </w:r>
    </w:p>
    <w:p>
      <w:pPr>
        <w:pStyle w:val="ListParagraph"/>
        <w:numPr>
          <w:ilvl w:val="1"/>
          <w:numId w:val="2"/>
        </w:numPr>
        <w:spacing w:after="80" w:before="0"/>
      </w:pPr>
      <w:r>
        <w:rPr>
          <w:rFonts w:ascii="Arial" w:cs="Arial" w:eastAsia="Arial" w:hAnsi="Arial"/>
          <w:i/>
          <w:iCs/>
          <w:color w:val="1A3C2E"/>
          <w:sz w:val="22"/>
          <w:szCs w:val="22"/>
        </w:rPr>
        <w:t xml:space="preserve">Đặt lịch: Cal.com hoặc tương tự. Thanh toán: Stripe (thẻ) + Wise USD (Guillaume Provent) cho chuyển khoản.</w:t>
      </w:r>
    </w:p>
    <w:p>
      <w:pPr>
        <w:pStyle w:val="ListParagraph"/>
        <w:numPr>
          <w:ilvl w:val="0"/>
          <w:numId w:val="2"/>
        </w:numPr>
        <w:spacing w:after="0" w:before="40"/>
      </w:pPr>
      <w:r>
        <w:rPr>
          <w:rFonts w:ascii="Arial" w:cs="Arial" w:eastAsia="Arial" w:hAnsi="Arial"/>
          <w:sz w:val="22"/>
          <w:szCs w:val="22"/>
        </w:rPr>
        <w:t xml:space="preserve">Pre-call preparation requested: deck, deed, financials, prior valuation. Listed as a checklist before payment.</w:t>
      </w:r>
    </w:p>
    <w:p>
      <w:pPr>
        <w:pStyle w:val="ListParagraph"/>
        <w:numPr>
          <w:ilvl w:val="1"/>
          <w:numId w:val="2"/>
        </w:numPr>
        <w:spacing w:after="80" w:before="0"/>
      </w:pPr>
      <w:r>
        <w:rPr>
          <w:rFonts w:ascii="Arial" w:cs="Arial" w:eastAsia="Arial" w:hAnsi="Arial"/>
          <w:i/>
          <w:iCs/>
          <w:color w:val="1A3C2E"/>
          <w:sz w:val="22"/>
          <w:szCs w:val="22"/>
        </w:rPr>
        <w:t xml:space="preserve">Chuẩn bị trước cuộc gọi: deck, sổ đỏ/giấy chủ quyền, báo cáo tài chính, định giá trước. Liệt kê checklist trước khi thanh toán.</w:t>
      </w:r>
    </w:p>
    <w:p>
      <w:pPr>
        <w:pStyle w:val="Heading2"/>
        <w:spacing w:after="120" w:before="240"/>
      </w:pPr>
      <w:r>
        <w:rPr>
          <w:rFonts w:ascii="Arial" w:cs="Arial" w:eastAsia="Arial" w:hAnsi="Arial"/>
          <w:b/>
          <w:bCs/>
          <w:sz w:val="26"/>
          <w:szCs w:val="26"/>
        </w:rPr>
        <w:t xml:space="preserve">Self-Check (/start)</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Self-Check (/start)</w:t>
      </w:r>
    </w:p>
    <w:p>
      <w:pPr>
        <w:spacing w:after="0" w:before="60"/>
      </w:pPr>
      <w:r>
        <w:rPr>
          <w:rFonts w:ascii="Arial" w:cs="Arial" w:eastAsia="Arial" w:hAnsi="Arial"/>
          <w:sz w:val="22"/>
          <w:szCs w:val="22"/>
        </w:rPr>
        <w:t xml:space="preserve">See Section 6 for required fields and rejection rules. Form must save progress in localStorage. After submission: instant on-screen confirmation + email containing the auto-generated 1-page preliminary report (PDF, bilingual).</w:t>
      </w:r>
    </w:p>
    <w:p>
      <w:pPr>
        <w:spacing w:after="120" w:before="0"/>
      </w:pPr>
      <w:r>
        <w:rPr>
          <w:rFonts w:ascii="Arial" w:cs="Arial" w:eastAsia="Arial" w:hAnsi="Arial"/>
          <w:i/>
          <w:iCs/>
          <w:color w:val="1A3C2E"/>
          <w:sz w:val="22"/>
          <w:szCs w:val="22"/>
        </w:rPr>
        <w:t xml:space="preserve">Xem Mục 6 cho trường bắt buộc và quy tắc từ chối. Form phải lưu tiến độ vào localStorage. Sau khi gửi: xác nhận on-screen ngay + email kèm báo cáo sơ bộ 1 trang tự động (PDF song ngữ).</w:t>
      </w:r>
    </w:p>
    <w:p>
      <w:pPr>
        <w:pStyle w:val="Heading2"/>
        <w:spacing w:after="120" w:before="240"/>
      </w:pPr>
      <w:r>
        <w:rPr>
          <w:rFonts w:ascii="Arial" w:cs="Arial" w:eastAsia="Arial" w:hAnsi="Arial"/>
          <w:b/>
          <w:bCs/>
          <w:sz w:val="26"/>
          <w:szCs w:val="26"/>
        </w:rPr>
        <w:t xml:space="preserve">Insights (/insights)</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Insights (/insights)</w:t>
      </w:r>
    </w:p>
    <w:p>
      <w:pPr>
        <w:spacing w:after="0" w:before="60"/>
      </w:pPr>
      <w:r>
        <w:rPr>
          <w:rFonts w:ascii="Arial" w:cs="Arial" w:eastAsia="Arial" w:hAnsi="Arial"/>
          <w:sz w:val="22"/>
          <w:szCs w:val="22"/>
        </w:rPr>
        <w:t xml:space="preserve">SEO and trust layer. Topic clusters: (1) Tokenization 101, (2) Jurisdiction guides (Vietnam, Singapore, UAE, EU MiCA), (3) Asset-class deep-dives (real estate, receivables, IP), (4) Demonopol ecosystem updates. Every article ends with a Self-Check or Diagnostic CTA.</w:t>
      </w:r>
    </w:p>
    <w:p>
      <w:pPr>
        <w:spacing w:after="120" w:before="0"/>
      </w:pPr>
      <w:r>
        <w:rPr>
          <w:rFonts w:ascii="Arial" w:cs="Arial" w:eastAsia="Arial" w:hAnsi="Arial"/>
          <w:i/>
          <w:iCs/>
          <w:color w:val="1A3C2E"/>
          <w:sz w:val="22"/>
          <w:szCs w:val="22"/>
        </w:rPr>
        <w:t xml:space="preserve">Lớp SEO và uy tín. Cluster: (1) Tokenization 101, (2) Hướng dẫn theo jurisdiction (VN, SG, UAE, EU MiCA), (3) Sâu theo loại tài sản (BĐS, hóa đơn, IP), (4) Cập nhật hệ sinh thái Demonopol. Mọi bài kết thúc bằng CTA Self-Check hoặc Diagnostic.</w:t>
      </w:r>
    </w:p>
    <w:p>
      <w:pPr>
        <w:pStyle w:val="Heading2"/>
        <w:spacing w:after="120" w:before="240"/>
      </w:pPr>
      <w:r>
        <w:rPr>
          <w:rFonts w:ascii="Arial" w:cs="Arial" w:eastAsia="Arial" w:hAnsi="Arial"/>
          <w:b/>
          <w:bCs/>
          <w:sz w:val="26"/>
          <w:szCs w:val="26"/>
        </w:rPr>
        <w:t xml:space="preserve">About (/about)</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About (/about)</w:t>
      </w:r>
    </w:p>
    <w:p>
      <w:pPr>
        <w:pStyle w:val="ListParagraph"/>
        <w:numPr>
          <w:ilvl w:val="0"/>
          <w:numId w:val="2"/>
        </w:numPr>
        <w:spacing w:after="0" w:before="40"/>
      </w:pPr>
      <w:r>
        <w:rPr>
          <w:rFonts w:ascii="Arial" w:cs="Arial" w:eastAsia="Arial" w:hAnsi="Arial"/>
          <w:sz w:val="22"/>
          <w:szCs w:val="22"/>
        </w:rPr>
        <w:t xml:space="preserve">Team: Guillaume Provent (founder), advisors, analysts. Honest. No fake faces.</w:t>
      </w:r>
    </w:p>
    <w:p>
      <w:pPr>
        <w:pStyle w:val="ListParagraph"/>
        <w:numPr>
          <w:ilvl w:val="1"/>
          <w:numId w:val="2"/>
        </w:numPr>
        <w:spacing w:after="80" w:before="0"/>
      </w:pPr>
      <w:r>
        <w:rPr>
          <w:rFonts w:ascii="Arial" w:cs="Arial" w:eastAsia="Arial" w:hAnsi="Arial"/>
          <w:i/>
          <w:iCs/>
          <w:color w:val="1A3C2E"/>
          <w:sz w:val="22"/>
          <w:szCs w:val="22"/>
        </w:rPr>
        <w:t xml:space="preserve">Team: Guillaume Provent (founder), cố vấn, analyst. Trung thực. Không mặt giả.</w:t>
      </w:r>
    </w:p>
    <w:p>
      <w:pPr>
        <w:pStyle w:val="ListParagraph"/>
        <w:numPr>
          <w:ilvl w:val="0"/>
          <w:numId w:val="2"/>
        </w:numPr>
        <w:spacing w:after="0" w:before="40"/>
      </w:pPr>
      <w:r>
        <w:rPr>
          <w:rFonts w:ascii="Arial" w:cs="Arial" w:eastAsia="Arial" w:hAnsi="Arial"/>
          <w:sz w:val="22"/>
          <w:szCs w:val="22"/>
        </w:rPr>
        <w:t xml:space="preserve">Ecosystem map: link to demonopol.com, docs.demonopol.com, Medium, Alpha Program, KOL Program.</w:t>
      </w:r>
    </w:p>
    <w:p>
      <w:pPr>
        <w:pStyle w:val="ListParagraph"/>
        <w:numPr>
          <w:ilvl w:val="1"/>
          <w:numId w:val="2"/>
        </w:numPr>
        <w:spacing w:after="80" w:before="0"/>
      </w:pPr>
      <w:r>
        <w:rPr>
          <w:rFonts w:ascii="Arial" w:cs="Arial" w:eastAsia="Arial" w:hAnsi="Arial"/>
          <w:i/>
          <w:iCs/>
          <w:color w:val="1A3C2E"/>
          <w:sz w:val="22"/>
          <w:szCs w:val="22"/>
        </w:rPr>
        <w:t xml:space="preserve">Sơ đồ hệ sinh thái: link tới demonopol.com, docs.demonopol.com, Medium, Alpha Program, KOL Program.</w:t>
      </w:r>
    </w:p>
    <w:p>
      <w:pPr>
        <w:pStyle w:val="ListParagraph"/>
        <w:numPr>
          <w:ilvl w:val="0"/>
          <w:numId w:val="2"/>
        </w:numPr>
        <w:spacing w:after="0" w:before="40"/>
      </w:pPr>
      <w:r>
        <w:rPr>
          <w:rFonts w:ascii="Arial" w:cs="Arial" w:eastAsia="Arial" w:hAnsi="Arial"/>
          <w:sz w:val="22"/>
          <w:szCs w:val="22"/>
        </w:rPr>
        <w:t xml:space="preserve">Contact: realty.hub@demonopol.com (general), hires@demonopol.com (recruitment), tokenize@demonopol.com (new — service inquiries).</w:t>
      </w:r>
    </w:p>
    <w:p>
      <w:pPr>
        <w:pStyle w:val="ListParagraph"/>
        <w:numPr>
          <w:ilvl w:val="1"/>
          <w:numId w:val="2"/>
        </w:numPr>
        <w:spacing w:after="80" w:before="0"/>
      </w:pPr>
      <w:r>
        <w:rPr>
          <w:rFonts w:ascii="Arial" w:cs="Arial" w:eastAsia="Arial" w:hAnsi="Arial"/>
          <w:i/>
          <w:iCs/>
          <w:color w:val="1A3C2E"/>
          <w:sz w:val="22"/>
          <w:szCs w:val="22"/>
        </w:rPr>
        <w:t xml:space="preserve">Liên hệ: realty.hub@demonopol.com (chung), hires@demonopol.com (tuyển dụng), tokenize@demonopol.com (mới — yêu cầu dịch vụ).</w:t>
      </w:r>
    </w:p>
    <w:p>
      <w:pPr>
        <w:pStyle w:val="ListParagraph"/>
        <w:numPr>
          <w:ilvl w:val="0"/>
          <w:numId w:val="2"/>
        </w:numPr>
        <w:spacing w:after="0" w:before="40"/>
      </w:pPr>
      <w:r>
        <w:rPr>
          <w:rFonts w:ascii="Arial" w:cs="Arial" w:eastAsia="Arial" w:hAnsi="Arial"/>
          <w:sz w:val="22"/>
          <w:szCs w:val="22"/>
        </w:rPr>
        <w:t xml:space="preserve">Legal: full risk disclosure, privacy policy, terms — link the existing Demonopol PDFs and add a TaaS-specific service agreement template.</w:t>
      </w:r>
    </w:p>
    <w:p>
      <w:pPr>
        <w:pStyle w:val="ListParagraph"/>
        <w:numPr>
          <w:ilvl w:val="1"/>
          <w:numId w:val="2"/>
        </w:numPr>
        <w:spacing w:after="80" w:before="0"/>
      </w:pPr>
      <w:r>
        <w:rPr>
          <w:rFonts w:ascii="Arial" w:cs="Arial" w:eastAsia="Arial" w:hAnsi="Arial"/>
          <w:i/>
          <w:iCs/>
          <w:color w:val="1A3C2E"/>
          <w:sz w:val="22"/>
          <w:szCs w:val="22"/>
        </w:rPr>
        <w:t xml:space="preserve">Pháp lý: đầy đủ risk disclosure, privacy, terms — link tới PDF có sẵn của Demonopol và thêm mẫu service agreement riêng cho TaaS.</w:t>
      </w:r>
    </w:p>
    <w:p>
      <w:pPr>
        <w:pStyle w:val="Heading1"/>
        <w:spacing w:after="160" w:before="360"/>
      </w:pPr>
      <w:r>
        <w:rPr>
          <w:rFonts w:ascii="Arial" w:cs="Arial" w:eastAsia="Arial" w:hAnsi="Arial"/>
          <w:b/>
          <w:bCs/>
          <w:sz w:val="32"/>
          <w:szCs w:val="32"/>
        </w:rPr>
        <w:t xml:space="preserve">9. Tone of voice</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9. Giọng văn</w:t>
      </w:r>
    </w:p>
    <w:p>
      <w:pPr>
        <w:pStyle w:val="ListParagraph"/>
        <w:numPr>
          <w:ilvl w:val="0"/>
          <w:numId w:val="2"/>
        </w:numPr>
        <w:spacing w:after="0" w:before="40"/>
      </w:pPr>
      <w:r>
        <w:rPr>
          <w:rFonts w:ascii="Arial" w:cs="Arial" w:eastAsia="Arial" w:hAnsi="Arial"/>
          <w:sz w:val="22"/>
          <w:szCs w:val="22"/>
        </w:rPr>
        <w:t xml:space="preserve">Direct, peer-level, expert. No hype. No "revolutionary" or "disruptive". Speak to founders and asset owners as equals.</w:t>
      </w:r>
    </w:p>
    <w:p>
      <w:pPr>
        <w:pStyle w:val="ListParagraph"/>
        <w:numPr>
          <w:ilvl w:val="1"/>
          <w:numId w:val="2"/>
        </w:numPr>
        <w:spacing w:after="80" w:before="0"/>
      </w:pPr>
      <w:r>
        <w:rPr>
          <w:rFonts w:ascii="Arial" w:cs="Arial" w:eastAsia="Arial" w:hAnsi="Arial"/>
          <w:i/>
          <w:iCs/>
          <w:color w:val="1A3C2E"/>
          <w:sz w:val="22"/>
          <w:szCs w:val="22"/>
        </w:rPr>
        <w:t xml:space="preserve">Thẳng thắn, ngang hàng, chuyên gia. Không phóng đại. Không "cách mạng" / "disrupt". Nói với founder và chủ tài sản như đồng cấp.</w:t>
      </w:r>
    </w:p>
    <w:p>
      <w:pPr>
        <w:pStyle w:val="ListParagraph"/>
        <w:numPr>
          <w:ilvl w:val="0"/>
          <w:numId w:val="2"/>
        </w:numPr>
        <w:spacing w:after="0" w:before="40"/>
      </w:pPr>
      <w:r>
        <w:rPr>
          <w:rFonts w:ascii="Arial" w:cs="Arial" w:eastAsia="Arial" w:hAnsi="Arial"/>
          <w:sz w:val="22"/>
          <w:szCs w:val="22"/>
        </w:rPr>
        <w:t xml:space="preserve">No corporate AI tone. No "we are excited to". No "in today's fast-paced world".</w:t>
      </w:r>
    </w:p>
    <w:p>
      <w:pPr>
        <w:pStyle w:val="ListParagraph"/>
        <w:numPr>
          <w:ilvl w:val="1"/>
          <w:numId w:val="2"/>
        </w:numPr>
        <w:spacing w:after="80" w:before="0"/>
      </w:pPr>
      <w:r>
        <w:rPr>
          <w:rFonts w:ascii="Arial" w:cs="Arial" w:eastAsia="Arial" w:hAnsi="Arial"/>
          <w:i/>
          <w:iCs/>
          <w:color w:val="1A3C2E"/>
          <w:sz w:val="22"/>
          <w:szCs w:val="22"/>
        </w:rPr>
        <w:t xml:space="preserve">Không giọng AI công ty. Không "chúng tôi rất phấn khởi". Không "trong thế giới biến động ngày nay".</w:t>
      </w:r>
    </w:p>
    <w:p>
      <w:pPr>
        <w:pStyle w:val="ListParagraph"/>
        <w:numPr>
          <w:ilvl w:val="0"/>
          <w:numId w:val="2"/>
        </w:numPr>
        <w:spacing w:after="0" w:before="40"/>
      </w:pPr>
      <w:r>
        <w:rPr>
          <w:rFonts w:ascii="Arial" w:cs="Arial" w:eastAsia="Arial" w:hAnsi="Arial"/>
          <w:sz w:val="22"/>
          <w:szCs w:val="22"/>
        </w:rPr>
        <w:t xml:space="preserve">Numbers only when sourced. If we do not have a number, we say so. Standing rule from Demonopol brand: never invent reference numbers or data.</w:t>
      </w:r>
    </w:p>
    <w:p>
      <w:pPr>
        <w:pStyle w:val="ListParagraph"/>
        <w:numPr>
          <w:ilvl w:val="1"/>
          <w:numId w:val="2"/>
        </w:numPr>
        <w:spacing w:after="80" w:before="0"/>
      </w:pPr>
      <w:r>
        <w:rPr>
          <w:rFonts w:ascii="Arial" w:cs="Arial" w:eastAsia="Arial" w:hAnsi="Arial"/>
          <w:i/>
          <w:iCs/>
          <w:color w:val="1A3C2E"/>
          <w:sz w:val="22"/>
          <w:szCs w:val="22"/>
        </w:rPr>
        <w:t xml:space="preserve">Chỉ dùng số khi có nguồn. Không có thì nói thẳng. Quy tắc thương hiệu Demonopol: không bao giờ bịa số liệu hay tham chiếu.</w:t>
      </w:r>
    </w:p>
    <w:p>
      <w:pPr>
        <w:pStyle w:val="ListParagraph"/>
        <w:numPr>
          <w:ilvl w:val="0"/>
          <w:numId w:val="2"/>
        </w:numPr>
        <w:spacing w:after="0" w:before="40"/>
      </w:pPr>
      <w:r>
        <w:rPr>
          <w:rFonts w:ascii="Arial" w:cs="Arial" w:eastAsia="Arial" w:hAnsi="Arial"/>
          <w:sz w:val="22"/>
          <w:szCs w:val="22"/>
        </w:rPr>
        <w:t xml:space="preserve">EN and VN must read native, not translated. Hire a native VN copywriter; do not feed Google Translate.</w:t>
      </w:r>
    </w:p>
    <w:p>
      <w:pPr>
        <w:pStyle w:val="ListParagraph"/>
        <w:numPr>
          <w:ilvl w:val="1"/>
          <w:numId w:val="2"/>
        </w:numPr>
        <w:spacing w:after="80" w:before="0"/>
      </w:pPr>
      <w:r>
        <w:rPr>
          <w:rFonts w:ascii="Arial" w:cs="Arial" w:eastAsia="Arial" w:hAnsi="Arial"/>
          <w:i/>
          <w:iCs/>
          <w:color w:val="1A3C2E"/>
          <w:sz w:val="22"/>
          <w:szCs w:val="22"/>
        </w:rPr>
        <w:t xml:space="preserve">EN và VN phải đọc như bản ngữ, không phải bản dịch. Thuê copywriter VN bản ngữ; không dùng Google Translate.</w:t>
      </w:r>
    </w:p>
    <w:p>
      <w:pPr>
        <w:pStyle w:val="ListParagraph"/>
        <w:numPr>
          <w:ilvl w:val="0"/>
          <w:numId w:val="2"/>
        </w:numPr>
        <w:spacing w:after="0" w:before="40"/>
      </w:pPr>
      <w:r>
        <w:rPr>
          <w:rFonts w:ascii="Arial" w:cs="Arial" w:eastAsia="Arial" w:hAnsi="Arial"/>
          <w:sz w:val="22"/>
          <w:szCs w:val="22"/>
        </w:rPr>
        <w:t xml:space="preserve">Risk language is mandatory and visible. Tokenization is not free of risk. Say it.</w:t>
      </w:r>
    </w:p>
    <w:p>
      <w:pPr>
        <w:pStyle w:val="ListParagraph"/>
        <w:numPr>
          <w:ilvl w:val="1"/>
          <w:numId w:val="2"/>
        </w:numPr>
        <w:spacing w:after="80" w:before="0"/>
      </w:pPr>
      <w:r>
        <w:rPr>
          <w:rFonts w:ascii="Arial" w:cs="Arial" w:eastAsia="Arial" w:hAnsi="Arial"/>
          <w:i/>
          <w:iCs/>
          <w:color w:val="1A3C2E"/>
          <w:sz w:val="22"/>
          <w:szCs w:val="22"/>
        </w:rPr>
        <w:t xml:space="preserve">Ngôn ngữ rủi ro là bắt buộc và phải hiển thị. Tokenization không phải không có rủi ro. Phải nói rõ.</w:t>
      </w:r>
    </w:p>
    <w:p>
      <w:pPr>
        <w:pStyle w:val="Heading1"/>
        <w:spacing w:after="160" w:before="360"/>
      </w:pPr>
      <w:r>
        <w:rPr>
          <w:rFonts w:ascii="Arial" w:cs="Arial" w:eastAsia="Arial" w:hAnsi="Arial"/>
          <w:b/>
          <w:bCs/>
          <w:sz w:val="32"/>
          <w:szCs w:val="32"/>
        </w:rPr>
        <w:t xml:space="preserve">10. Visual &amp; design system</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10. Hệ thống thiết kế</w:t>
      </w:r>
    </w:p>
    <w:p>
      <w:pPr>
        <w:spacing w:after="0" w:before="60"/>
      </w:pPr>
      <w:r>
        <w:rPr>
          <w:rFonts w:ascii="Arial" w:cs="Arial" w:eastAsia="Arial" w:hAnsi="Arial"/>
          <w:sz w:val="22"/>
          <w:szCs w:val="22"/>
        </w:rPr>
        <w:t xml:space="preserve">The site must feel like part of the Demonopol family but with a sharper, more institutional B2B finish. Carry the existing demonopol.com brand spine, then upgrade the typographic and color discipline for a B2B advisory product.</w:t>
      </w:r>
    </w:p>
    <w:p>
      <w:pPr>
        <w:spacing w:after="120" w:before="0"/>
      </w:pPr>
      <w:r>
        <w:rPr>
          <w:rFonts w:ascii="Arial" w:cs="Arial" w:eastAsia="Arial" w:hAnsi="Arial"/>
          <w:i/>
          <w:iCs/>
          <w:color w:val="1A3C2E"/>
          <w:sz w:val="22"/>
          <w:szCs w:val="22"/>
        </w:rPr>
        <w:t xml:space="preserve">Site phải cảm nhận như cùng họ với Demonopol nhưng finish B2B sắc bén hơn, mang chất institutional. Giữ "xương sống" thương hiệu demonopol.com, nâng cấp kỷ luật typography và màu cho sản phẩm tư vấn B2B.</w:t>
      </w:r>
    </w:p>
    <w:p>
      <w:pPr>
        <w:pStyle w:val="Heading2"/>
        <w:spacing w:after="120" w:before="240"/>
      </w:pPr>
      <w:r>
        <w:rPr>
          <w:rFonts w:ascii="Arial" w:cs="Arial" w:eastAsia="Arial" w:hAnsi="Arial"/>
          <w:b/>
          <w:bCs/>
          <w:sz w:val="26"/>
          <w:szCs w:val="26"/>
        </w:rPr>
        <w:t xml:space="preserve">Color tokens</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Token màu</w:t>
      </w:r>
    </w:p>
    <w:p>
      <w:pPr>
        <w:pStyle w:val="ListParagraph"/>
        <w:numPr>
          <w:ilvl w:val="0"/>
          <w:numId w:val="2"/>
        </w:numPr>
        <w:spacing w:after="0" w:before="40"/>
      </w:pPr>
      <w:r>
        <w:rPr>
          <w:rFonts w:ascii="Arial" w:cs="Arial" w:eastAsia="Arial" w:hAnsi="Arial"/>
          <w:sz w:val="22"/>
          <w:szCs w:val="22"/>
        </w:rPr>
        <w:t xml:space="preserve">Primary background: #0E1110 (near-black, deeper than DEAL anthracite for digital authority).</w:t>
      </w:r>
    </w:p>
    <w:p>
      <w:pPr>
        <w:pStyle w:val="ListParagraph"/>
        <w:numPr>
          <w:ilvl w:val="1"/>
          <w:numId w:val="2"/>
        </w:numPr>
        <w:spacing w:after="80" w:before="0"/>
      </w:pPr>
      <w:r>
        <w:rPr>
          <w:rFonts w:ascii="Arial" w:cs="Arial" w:eastAsia="Arial" w:hAnsi="Arial"/>
          <w:i/>
          <w:iCs/>
          <w:color w:val="1A3C2E"/>
          <w:sz w:val="22"/>
          <w:szCs w:val="22"/>
        </w:rPr>
        <w:t xml:space="preserve">Nền chính: #0E1110 (gần đen, tối hơn anthracite của DEAL để gợi authority số).</w:t>
      </w:r>
    </w:p>
    <w:p>
      <w:pPr>
        <w:pStyle w:val="ListParagraph"/>
        <w:numPr>
          <w:ilvl w:val="0"/>
          <w:numId w:val="2"/>
        </w:numPr>
        <w:spacing w:after="0" w:before="40"/>
      </w:pPr>
      <w:r>
        <w:rPr>
          <w:rFonts w:ascii="Arial" w:cs="Arial" w:eastAsia="Arial" w:hAnsi="Arial"/>
          <w:sz w:val="22"/>
          <w:szCs w:val="22"/>
        </w:rPr>
        <w:t xml:space="preserve">Surface: #2B2D2F (anthracite — shared with DEAL brand for ecosystem coherence).</w:t>
      </w:r>
    </w:p>
    <w:p>
      <w:pPr>
        <w:pStyle w:val="ListParagraph"/>
        <w:numPr>
          <w:ilvl w:val="1"/>
          <w:numId w:val="2"/>
        </w:numPr>
        <w:spacing w:after="80" w:before="0"/>
      </w:pPr>
      <w:r>
        <w:rPr>
          <w:rFonts w:ascii="Arial" w:cs="Arial" w:eastAsia="Arial" w:hAnsi="Arial"/>
          <w:i/>
          <w:iCs/>
          <w:color w:val="1A3C2E"/>
          <w:sz w:val="22"/>
          <w:szCs w:val="22"/>
        </w:rPr>
        <w:t xml:space="preserve">Surface: #2B2D2F (anthracite — chung với DEAL để liên kết hệ sinh thái).</w:t>
      </w:r>
    </w:p>
    <w:p>
      <w:pPr>
        <w:pStyle w:val="ListParagraph"/>
        <w:numPr>
          <w:ilvl w:val="0"/>
          <w:numId w:val="2"/>
        </w:numPr>
        <w:spacing w:after="0" w:before="40"/>
      </w:pPr>
      <w:r>
        <w:rPr>
          <w:rFonts w:ascii="Arial" w:cs="Arial" w:eastAsia="Arial" w:hAnsi="Arial"/>
          <w:sz w:val="22"/>
          <w:szCs w:val="22"/>
        </w:rPr>
        <w:t xml:space="preserve">Accent / forest: #1A3C2E (Demonopol deep forest green — used for trust and CTAs).</w:t>
      </w:r>
    </w:p>
    <w:p>
      <w:pPr>
        <w:pStyle w:val="ListParagraph"/>
        <w:numPr>
          <w:ilvl w:val="1"/>
          <w:numId w:val="2"/>
        </w:numPr>
        <w:spacing w:after="80" w:before="0"/>
      </w:pPr>
      <w:r>
        <w:rPr>
          <w:rFonts w:ascii="Arial" w:cs="Arial" w:eastAsia="Arial" w:hAnsi="Arial"/>
          <w:i/>
          <w:iCs/>
          <w:color w:val="1A3C2E"/>
          <w:sz w:val="22"/>
          <w:szCs w:val="22"/>
        </w:rPr>
        <w:t xml:space="preserve">Accent / rừng: #1A3C2E (xanh rừng sâu của Demonopol — dùng cho trust và CTA).</w:t>
      </w:r>
    </w:p>
    <w:p>
      <w:pPr>
        <w:pStyle w:val="ListParagraph"/>
        <w:numPr>
          <w:ilvl w:val="0"/>
          <w:numId w:val="2"/>
        </w:numPr>
        <w:spacing w:after="0" w:before="40"/>
      </w:pPr>
      <w:r>
        <w:rPr>
          <w:rFonts w:ascii="Arial" w:cs="Arial" w:eastAsia="Arial" w:hAnsi="Arial"/>
          <w:sz w:val="22"/>
          <w:szCs w:val="22"/>
        </w:rPr>
        <w:t xml:space="preserve">Brass / premium: #C9A96E (used sparingly for headline accents and the "premium" Diagnostic tier card).</w:t>
      </w:r>
    </w:p>
    <w:p>
      <w:pPr>
        <w:pStyle w:val="ListParagraph"/>
        <w:numPr>
          <w:ilvl w:val="1"/>
          <w:numId w:val="2"/>
        </w:numPr>
        <w:spacing w:after="80" w:before="0"/>
      </w:pPr>
      <w:r>
        <w:rPr>
          <w:rFonts w:ascii="Arial" w:cs="Arial" w:eastAsia="Arial" w:hAnsi="Arial"/>
          <w:i/>
          <w:iCs/>
          <w:color w:val="1A3C2E"/>
          <w:sz w:val="22"/>
          <w:szCs w:val="22"/>
        </w:rPr>
        <w:t xml:space="preserve">Đồng / cao cấp: #C9A96E (dùng tiết chế cho điểm nhấn headline và card Diagnostic).</w:t>
      </w:r>
    </w:p>
    <w:p>
      <w:pPr>
        <w:pStyle w:val="ListParagraph"/>
        <w:numPr>
          <w:ilvl w:val="0"/>
          <w:numId w:val="2"/>
        </w:numPr>
        <w:spacing w:after="0" w:before="40"/>
      </w:pPr>
      <w:r>
        <w:rPr>
          <w:rFonts w:ascii="Arial" w:cs="Arial" w:eastAsia="Arial" w:hAnsi="Arial"/>
          <w:sz w:val="22"/>
          <w:szCs w:val="22"/>
        </w:rPr>
        <w:t xml:space="preserve">Off-white text: #F0EDE8 (warmer than pure white).</w:t>
      </w:r>
    </w:p>
    <w:p>
      <w:pPr>
        <w:pStyle w:val="ListParagraph"/>
        <w:numPr>
          <w:ilvl w:val="1"/>
          <w:numId w:val="2"/>
        </w:numPr>
        <w:spacing w:after="80" w:before="0"/>
      </w:pPr>
      <w:r>
        <w:rPr>
          <w:rFonts w:ascii="Arial" w:cs="Arial" w:eastAsia="Arial" w:hAnsi="Arial"/>
          <w:i/>
          <w:iCs/>
          <w:color w:val="1A3C2E"/>
          <w:sz w:val="22"/>
          <w:szCs w:val="22"/>
        </w:rPr>
        <w:t xml:space="preserve">Chữ off-white: #F0EDE8 (ấm hơn trắng thuần).</w:t>
      </w:r>
    </w:p>
    <w:p>
      <w:pPr>
        <w:pStyle w:val="ListParagraph"/>
        <w:numPr>
          <w:ilvl w:val="0"/>
          <w:numId w:val="2"/>
        </w:numPr>
        <w:spacing w:after="0" w:before="40"/>
      </w:pPr>
      <w:r>
        <w:rPr>
          <w:rFonts w:ascii="Arial" w:cs="Arial" w:eastAsia="Arial" w:hAnsi="Arial"/>
          <w:sz w:val="22"/>
          <w:szCs w:val="22"/>
        </w:rPr>
        <w:t xml:space="preserve">Alert / risk: #C24A2C (red — used only for risk language and form errors).</w:t>
      </w:r>
    </w:p>
    <w:p>
      <w:pPr>
        <w:pStyle w:val="ListParagraph"/>
        <w:numPr>
          <w:ilvl w:val="1"/>
          <w:numId w:val="2"/>
        </w:numPr>
        <w:spacing w:after="80" w:before="0"/>
      </w:pPr>
      <w:r>
        <w:rPr>
          <w:rFonts w:ascii="Arial" w:cs="Arial" w:eastAsia="Arial" w:hAnsi="Arial"/>
          <w:i/>
          <w:iCs/>
          <w:color w:val="1A3C2E"/>
          <w:sz w:val="22"/>
          <w:szCs w:val="22"/>
        </w:rPr>
        <w:t xml:space="preserve">Cảnh báo / rủi ro: #C24A2C (đỏ — chỉ cho ngôn ngữ rủi ro và lỗi form).</w:t>
      </w:r>
    </w:p>
    <w:p>
      <w:pPr>
        <w:pStyle w:val="Heading2"/>
        <w:spacing w:after="120" w:before="240"/>
      </w:pPr>
      <w:r>
        <w:rPr>
          <w:rFonts w:ascii="Arial" w:cs="Arial" w:eastAsia="Arial" w:hAnsi="Arial"/>
          <w:b/>
          <w:bCs/>
          <w:sz w:val="26"/>
          <w:szCs w:val="26"/>
        </w:rPr>
        <w:t xml:space="preserve">Typography</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Typography</w:t>
      </w:r>
    </w:p>
    <w:p>
      <w:pPr>
        <w:pStyle w:val="ListParagraph"/>
        <w:numPr>
          <w:ilvl w:val="0"/>
          <w:numId w:val="2"/>
        </w:numPr>
        <w:spacing w:after="0" w:before="40"/>
      </w:pPr>
      <w:r>
        <w:rPr>
          <w:rFonts w:ascii="Arial" w:cs="Arial" w:eastAsia="Arial" w:hAnsi="Arial"/>
          <w:sz w:val="22"/>
          <w:szCs w:val="22"/>
        </w:rPr>
        <w:t xml:space="preserve">Headlines &amp; display: Orbitron or IBM Plex Sans (geometric, slightly futurist — coherent with DEAL brand).</w:t>
      </w:r>
    </w:p>
    <w:p>
      <w:pPr>
        <w:pStyle w:val="ListParagraph"/>
        <w:numPr>
          <w:ilvl w:val="1"/>
          <w:numId w:val="2"/>
        </w:numPr>
        <w:spacing w:after="80" w:before="0"/>
      </w:pPr>
      <w:r>
        <w:rPr>
          <w:rFonts w:ascii="Arial" w:cs="Arial" w:eastAsia="Arial" w:hAnsi="Arial"/>
          <w:i/>
          <w:iCs/>
          <w:color w:val="1A3C2E"/>
          <w:sz w:val="22"/>
          <w:szCs w:val="22"/>
        </w:rPr>
        <w:t xml:space="preserve">Tiêu đề &amp; display: Orbitron hoặc IBM Plex Sans (hình học, hơi futurist — đồng bộ với DEAL).</w:t>
      </w:r>
    </w:p>
    <w:p>
      <w:pPr>
        <w:pStyle w:val="ListParagraph"/>
        <w:numPr>
          <w:ilvl w:val="0"/>
          <w:numId w:val="2"/>
        </w:numPr>
        <w:spacing w:after="0" w:before="40"/>
      </w:pPr>
      <w:r>
        <w:rPr>
          <w:rFonts w:ascii="Arial" w:cs="Arial" w:eastAsia="Arial" w:hAnsi="Arial"/>
          <w:sz w:val="22"/>
          <w:szCs w:val="22"/>
        </w:rPr>
        <w:t xml:space="preserve">Body: Inter or IBM Plex Sans (clean, screen-optimized, multilingual including Vietnamese diacritics).</w:t>
      </w:r>
    </w:p>
    <w:p>
      <w:pPr>
        <w:pStyle w:val="ListParagraph"/>
        <w:numPr>
          <w:ilvl w:val="1"/>
          <w:numId w:val="2"/>
        </w:numPr>
        <w:spacing w:after="80" w:before="0"/>
      </w:pPr>
      <w:r>
        <w:rPr>
          <w:rFonts w:ascii="Arial" w:cs="Arial" w:eastAsia="Arial" w:hAnsi="Arial"/>
          <w:i/>
          <w:iCs/>
          <w:color w:val="1A3C2E"/>
          <w:sz w:val="22"/>
          <w:szCs w:val="22"/>
        </w:rPr>
        <w:t xml:space="preserve">Body: Inter hoặc IBM Plex Sans (sạch, tối ưu màn hình, hỗ trợ dấu tiếng Việt).</w:t>
      </w:r>
    </w:p>
    <w:p>
      <w:pPr>
        <w:pStyle w:val="ListParagraph"/>
        <w:numPr>
          <w:ilvl w:val="0"/>
          <w:numId w:val="2"/>
        </w:numPr>
        <w:spacing w:after="0" w:before="40"/>
      </w:pPr>
      <w:r>
        <w:rPr>
          <w:rFonts w:ascii="Arial" w:cs="Arial" w:eastAsia="Arial" w:hAnsi="Arial"/>
          <w:sz w:val="22"/>
          <w:szCs w:val="22"/>
        </w:rPr>
        <w:t xml:space="preserve">Numbers / data: IBM Plex Mono (LCD-feeling for prices, market stats — coherent with DEAL).</w:t>
      </w:r>
    </w:p>
    <w:p>
      <w:pPr>
        <w:pStyle w:val="ListParagraph"/>
        <w:numPr>
          <w:ilvl w:val="1"/>
          <w:numId w:val="2"/>
        </w:numPr>
        <w:spacing w:after="80" w:before="0"/>
      </w:pPr>
      <w:r>
        <w:rPr>
          <w:rFonts w:ascii="Arial" w:cs="Arial" w:eastAsia="Arial" w:hAnsi="Arial"/>
          <w:i/>
          <w:iCs/>
          <w:color w:val="1A3C2E"/>
          <w:sz w:val="22"/>
          <w:szCs w:val="22"/>
        </w:rPr>
        <w:t xml:space="preserve">Số liệu: IBM Plex Mono (cảm giác LCD cho giá, thống kê — đồng bộ với DEAL).</w:t>
      </w:r>
    </w:p>
    <w:p>
      <w:pPr>
        <w:pStyle w:val="ListParagraph"/>
        <w:numPr>
          <w:ilvl w:val="0"/>
          <w:numId w:val="2"/>
        </w:numPr>
        <w:spacing w:after="0" w:before="40"/>
      </w:pPr>
      <w:r>
        <w:rPr>
          <w:rFonts w:ascii="Arial" w:cs="Arial" w:eastAsia="Arial" w:hAnsi="Arial"/>
          <w:sz w:val="22"/>
          <w:szCs w:val="22"/>
        </w:rPr>
        <w:t xml:space="preserve">Vietnamese type quality is non-negotiable: every font must support Vietnamese diacritics natively (no fallback).</w:t>
      </w:r>
    </w:p>
    <w:p>
      <w:pPr>
        <w:pStyle w:val="ListParagraph"/>
        <w:numPr>
          <w:ilvl w:val="1"/>
          <w:numId w:val="2"/>
        </w:numPr>
        <w:spacing w:after="80" w:before="0"/>
      </w:pPr>
      <w:r>
        <w:rPr>
          <w:rFonts w:ascii="Arial" w:cs="Arial" w:eastAsia="Arial" w:hAnsi="Arial"/>
          <w:i/>
          <w:iCs/>
          <w:color w:val="1A3C2E"/>
          <w:sz w:val="22"/>
          <w:szCs w:val="22"/>
        </w:rPr>
        <w:t xml:space="preserve">Chất lượng tiếng Việt không thương lượng: mọi font phải hỗ trợ dấu tiếng Việt natively (không fallback).</w:t>
      </w:r>
    </w:p>
    <w:p>
      <w:pPr>
        <w:pStyle w:val="Heading2"/>
        <w:spacing w:after="120" w:before="240"/>
      </w:pPr>
      <w:r>
        <w:rPr>
          <w:rFonts w:ascii="Arial" w:cs="Arial" w:eastAsia="Arial" w:hAnsi="Arial"/>
          <w:b/>
          <w:bCs/>
          <w:sz w:val="26"/>
          <w:szCs w:val="26"/>
        </w:rPr>
        <w:t xml:space="preserve">Layout principles</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Nguyên tắc layout</w:t>
      </w:r>
    </w:p>
    <w:p>
      <w:pPr>
        <w:pStyle w:val="ListParagraph"/>
        <w:numPr>
          <w:ilvl w:val="0"/>
          <w:numId w:val="2"/>
        </w:numPr>
        <w:spacing w:after="0" w:before="40"/>
      </w:pPr>
      <w:r>
        <w:rPr>
          <w:rFonts w:ascii="Arial" w:cs="Arial" w:eastAsia="Arial" w:hAnsi="Arial"/>
          <w:sz w:val="22"/>
          <w:szCs w:val="22"/>
        </w:rPr>
        <w:t xml:space="preserve">Generous whitespace. Asymmetric grids. Long horizontal scroll bands for the "how it works" section.</w:t>
      </w:r>
    </w:p>
    <w:p>
      <w:pPr>
        <w:pStyle w:val="ListParagraph"/>
        <w:numPr>
          <w:ilvl w:val="1"/>
          <w:numId w:val="2"/>
        </w:numPr>
        <w:spacing w:after="80" w:before="0"/>
      </w:pPr>
      <w:r>
        <w:rPr>
          <w:rFonts w:ascii="Arial" w:cs="Arial" w:eastAsia="Arial" w:hAnsi="Arial"/>
          <w:i/>
          <w:iCs/>
          <w:color w:val="1A3C2E"/>
          <w:sz w:val="22"/>
          <w:szCs w:val="22"/>
        </w:rPr>
        <w:t xml:space="preserve">Whitespace rộng rãi. Grid bất đối xứng. Băng cuộn ngang dài cho phần "how it works".</w:t>
      </w:r>
    </w:p>
    <w:p>
      <w:pPr>
        <w:pStyle w:val="ListParagraph"/>
        <w:numPr>
          <w:ilvl w:val="0"/>
          <w:numId w:val="2"/>
        </w:numPr>
        <w:spacing w:after="0" w:before="40"/>
      </w:pPr>
      <w:r>
        <w:rPr>
          <w:rFonts w:ascii="Arial" w:cs="Arial" w:eastAsia="Arial" w:hAnsi="Arial"/>
          <w:sz w:val="22"/>
          <w:szCs w:val="22"/>
        </w:rPr>
        <w:t xml:space="preserve">Subtle motion only — fade-ins on scroll, no parallax circus.</w:t>
      </w:r>
    </w:p>
    <w:p>
      <w:pPr>
        <w:pStyle w:val="ListParagraph"/>
        <w:numPr>
          <w:ilvl w:val="1"/>
          <w:numId w:val="2"/>
        </w:numPr>
        <w:spacing w:after="80" w:before="0"/>
      </w:pPr>
      <w:r>
        <w:rPr>
          <w:rFonts w:ascii="Arial" w:cs="Arial" w:eastAsia="Arial" w:hAnsi="Arial"/>
          <w:i/>
          <w:iCs/>
          <w:color w:val="1A3C2E"/>
          <w:sz w:val="22"/>
          <w:szCs w:val="22"/>
        </w:rPr>
        <w:t xml:space="preserve">Motion tinh tế — fade-in khi cuộn, không parallax kiểu hội chợ.</w:t>
      </w:r>
    </w:p>
    <w:p>
      <w:pPr>
        <w:pStyle w:val="ListParagraph"/>
        <w:numPr>
          <w:ilvl w:val="0"/>
          <w:numId w:val="2"/>
        </w:numPr>
        <w:spacing w:after="0" w:before="40"/>
      </w:pPr>
      <w:r>
        <w:rPr>
          <w:rFonts w:ascii="Arial" w:cs="Arial" w:eastAsia="Arial" w:hAnsi="Arial"/>
          <w:sz w:val="22"/>
          <w:szCs w:val="22"/>
        </w:rPr>
        <w:t xml:space="preserve">One illustration style throughout: thin-line technical diagrams in brass on dark — never stock photography of handshakes or Manhattan skylines.</w:t>
      </w:r>
    </w:p>
    <w:p>
      <w:pPr>
        <w:pStyle w:val="ListParagraph"/>
        <w:numPr>
          <w:ilvl w:val="1"/>
          <w:numId w:val="2"/>
        </w:numPr>
        <w:spacing w:after="80" w:before="0"/>
      </w:pPr>
      <w:r>
        <w:rPr>
          <w:rFonts w:ascii="Arial" w:cs="Arial" w:eastAsia="Arial" w:hAnsi="Arial"/>
          <w:i/>
          <w:iCs/>
          <w:color w:val="1A3C2E"/>
          <w:sz w:val="22"/>
          <w:szCs w:val="22"/>
        </w:rPr>
        <w:t xml:space="preserve">Một phong cách minh họa duy nhất: sơ đồ kỹ thuật line mảnh, brass trên nền tối — không bao giờ ảnh stock kiểu bắt tay hay đô thị Manhattan.</w:t>
      </w:r>
    </w:p>
    <w:p>
      <w:pPr>
        <w:pStyle w:val="Heading1"/>
        <w:spacing w:after="160" w:before="360"/>
      </w:pPr>
      <w:r>
        <w:rPr>
          <w:rFonts w:ascii="Arial" w:cs="Arial" w:eastAsia="Arial" w:hAnsi="Arial"/>
          <w:b/>
          <w:bCs/>
          <w:sz w:val="32"/>
          <w:szCs w:val="32"/>
        </w:rPr>
        <w:t xml:space="preserve">11. Conversion mechanics</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11. Cơ chế chuyển đổi</w:t>
      </w:r>
    </w:p>
    <w:p>
      <w:pPr>
        <w:pStyle w:val="ListParagraph"/>
        <w:numPr>
          <w:ilvl w:val="0"/>
          <w:numId w:val="2"/>
        </w:numPr>
        <w:spacing w:after="0" w:before="40"/>
      </w:pPr>
      <w:r>
        <w:rPr>
          <w:rFonts w:ascii="Arial" w:cs="Arial" w:eastAsia="Arial" w:hAnsi="Arial"/>
          <w:sz w:val="22"/>
          <w:szCs w:val="22"/>
        </w:rPr>
        <w:t xml:space="preserve">Single dominant CTA on every page: Self-Check (top of funnel) or Diagnostic (mid funnel). Never both with equal weight.</w:t>
      </w:r>
    </w:p>
    <w:p>
      <w:pPr>
        <w:pStyle w:val="ListParagraph"/>
        <w:numPr>
          <w:ilvl w:val="1"/>
          <w:numId w:val="2"/>
        </w:numPr>
        <w:spacing w:after="80" w:before="0"/>
      </w:pPr>
      <w:r>
        <w:rPr>
          <w:rFonts w:ascii="Arial" w:cs="Arial" w:eastAsia="Arial" w:hAnsi="Arial"/>
          <w:i/>
          <w:iCs/>
          <w:color w:val="1A3C2E"/>
          <w:sz w:val="22"/>
          <w:szCs w:val="22"/>
        </w:rPr>
        <w:t xml:space="preserve">Một CTA chủ đạo duy nhất mỗi trang: Self-Check (đầu phễu) hoặc Diagnostic (giữa phễu). Không bao giờ cân bằng cả hai.</w:t>
      </w:r>
    </w:p>
    <w:p>
      <w:pPr>
        <w:pStyle w:val="ListParagraph"/>
        <w:numPr>
          <w:ilvl w:val="0"/>
          <w:numId w:val="2"/>
        </w:numPr>
        <w:spacing w:after="0" w:before="40"/>
      </w:pPr>
      <w:r>
        <w:rPr>
          <w:rFonts w:ascii="Arial" w:cs="Arial" w:eastAsia="Arial" w:hAnsi="Arial"/>
          <w:sz w:val="22"/>
          <w:szCs w:val="22"/>
        </w:rPr>
        <w:t xml:space="preserve">Sticky bottom-right "Start Self-Check" pill on mobile.</w:t>
      </w:r>
    </w:p>
    <w:p>
      <w:pPr>
        <w:pStyle w:val="ListParagraph"/>
        <w:numPr>
          <w:ilvl w:val="1"/>
          <w:numId w:val="2"/>
        </w:numPr>
        <w:spacing w:after="80" w:before="0"/>
      </w:pPr>
      <w:r>
        <w:rPr>
          <w:rFonts w:ascii="Arial" w:cs="Arial" w:eastAsia="Arial" w:hAnsi="Arial"/>
          <w:i/>
          <w:iCs/>
          <w:color w:val="1A3C2E"/>
          <w:sz w:val="22"/>
          <w:szCs w:val="22"/>
        </w:rPr>
        <w:t xml:space="preserve">Pill "Start Self-Check" sticky góc phải dưới trên mobile.</w:t>
      </w:r>
    </w:p>
    <w:p>
      <w:pPr>
        <w:pStyle w:val="ListParagraph"/>
        <w:numPr>
          <w:ilvl w:val="0"/>
          <w:numId w:val="2"/>
        </w:numPr>
        <w:spacing w:after="0" w:before="40"/>
      </w:pPr>
      <w:r>
        <w:rPr>
          <w:rFonts w:ascii="Arial" w:cs="Arial" w:eastAsia="Arial" w:hAnsi="Arial"/>
          <w:sz w:val="22"/>
          <w:szCs w:val="22"/>
        </w:rPr>
        <w:t xml:space="preserve">Exit-intent modal on home and services pages: "Not ready? Get the 12-page Tokenization Decision Guide (free)." → email gate.</w:t>
      </w:r>
    </w:p>
    <w:p>
      <w:pPr>
        <w:pStyle w:val="ListParagraph"/>
        <w:numPr>
          <w:ilvl w:val="1"/>
          <w:numId w:val="2"/>
        </w:numPr>
        <w:spacing w:after="80" w:before="0"/>
      </w:pPr>
      <w:r>
        <w:rPr>
          <w:rFonts w:ascii="Arial" w:cs="Arial" w:eastAsia="Arial" w:hAnsi="Arial"/>
          <w:i/>
          <w:iCs/>
          <w:color w:val="1A3C2E"/>
          <w:sz w:val="22"/>
          <w:szCs w:val="22"/>
        </w:rPr>
        <w:t xml:space="preserve">Modal exit-intent trên home và services: "Chưa sẵn sàng? Tải Decision Guide 12 trang (miễn phí)." → cổng email.</w:t>
      </w:r>
    </w:p>
    <w:p>
      <w:pPr>
        <w:pStyle w:val="ListParagraph"/>
        <w:numPr>
          <w:ilvl w:val="0"/>
          <w:numId w:val="2"/>
        </w:numPr>
        <w:spacing w:after="0" w:before="40"/>
      </w:pPr>
      <w:r>
        <w:rPr>
          <w:rFonts w:ascii="Arial" w:cs="Arial" w:eastAsia="Arial" w:hAnsi="Arial"/>
          <w:sz w:val="22"/>
          <w:szCs w:val="22"/>
        </w:rPr>
        <w:t xml:space="preserve">Diagnostic checkout pre-filled if intake completed: skip the form, go straight to Calendly + Stripe.</w:t>
      </w:r>
    </w:p>
    <w:p>
      <w:pPr>
        <w:pStyle w:val="ListParagraph"/>
        <w:numPr>
          <w:ilvl w:val="1"/>
          <w:numId w:val="2"/>
        </w:numPr>
        <w:spacing w:after="80" w:before="0"/>
      </w:pPr>
      <w:r>
        <w:rPr>
          <w:rFonts w:ascii="Arial" w:cs="Arial" w:eastAsia="Arial" w:hAnsi="Arial"/>
          <w:i/>
          <w:iCs/>
          <w:color w:val="1A3C2E"/>
          <w:sz w:val="22"/>
          <w:szCs w:val="22"/>
        </w:rPr>
        <w:t xml:space="preserve">Checkout Diagnostic prefill nếu đã hoàn tất intake: bỏ qua form, vào thẳng Calendly + Stripe.</w:t>
      </w:r>
    </w:p>
    <w:p>
      <w:pPr>
        <w:pStyle w:val="ListParagraph"/>
        <w:numPr>
          <w:ilvl w:val="0"/>
          <w:numId w:val="2"/>
        </w:numPr>
        <w:spacing w:after="0" w:before="40"/>
      </w:pPr>
      <w:r>
        <w:rPr>
          <w:rFonts w:ascii="Arial" w:cs="Arial" w:eastAsia="Arial" w:hAnsi="Arial"/>
          <w:sz w:val="22"/>
          <w:szCs w:val="22"/>
        </w:rPr>
        <w:t xml:space="preserve">Post-payment: automatic email confirmation + calendar booking link + pre-call checklist + Wise/Stripe receipt.</w:t>
      </w:r>
    </w:p>
    <w:p>
      <w:pPr>
        <w:pStyle w:val="ListParagraph"/>
        <w:numPr>
          <w:ilvl w:val="1"/>
          <w:numId w:val="2"/>
        </w:numPr>
        <w:spacing w:after="80" w:before="0"/>
      </w:pPr>
      <w:r>
        <w:rPr>
          <w:rFonts w:ascii="Arial" w:cs="Arial" w:eastAsia="Arial" w:hAnsi="Arial"/>
          <w:i/>
          <w:iCs/>
          <w:color w:val="1A3C2E"/>
          <w:sz w:val="22"/>
          <w:szCs w:val="22"/>
        </w:rPr>
        <w:t xml:space="preserve">Sau thanh toán: email xác nhận + link đặt lịch + checklist trước cuộc gọi + biên lai Wise/Stripe.</w:t>
      </w:r>
    </w:p>
    <w:p>
      <w:pPr>
        <w:pStyle w:val="ListParagraph"/>
        <w:numPr>
          <w:ilvl w:val="0"/>
          <w:numId w:val="2"/>
        </w:numPr>
        <w:spacing w:after="0" w:before="40"/>
      </w:pPr>
      <w:r>
        <w:rPr>
          <w:rFonts w:ascii="Arial" w:cs="Arial" w:eastAsia="Arial" w:hAnsi="Arial"/>
          <w:sz w:val="22"/>
          <w:szCs w:val="22"/>
        </w:rPr>
        <w:t xml:space="preserve">Tracking: Plausible (privacy-first, EU-compliant) for analytics. PostHog if behavioral funnels needed. No Google Analytics by default.</w:t>
      </w:r>
    </w:p>
    <w:p>
      <w:pPr>
        <w:pStyle w:val="ListParagraph"/>
        <w:numPr>
          <w:ilvl w:val="1"/>
          <w:numId w:val="2"/>
        </w:numPr>
        <w:spacing w:after="80" w:before="0"/>
      </w:pPr>
      <w:r>
        <w:rPr>
          <w:rFonts w:ascii="Arial" w:cs="Arial" w:eastAsia="Arial" w:hAnsi="Arial"/>
          <w:i/>
          <w:iCs/>
          <w:color w:val="1A3C2E"/>
          <w:sz w:val="22"/>
          <w:szCs w:val="22"/>
        </w:rPr>
        <w:t xml:space="preserve">Đo lường: Plausible (privacy-first, EU-compliant). PostHog nếu cần funnel hành vi. Mặc định không Google Analytics.</w:t>
      </w:r>
    </w:p>
    <w:p>
      <w:pPr>
        <w:pStyle w:val="Heading1"/>
        <w:spacing w:after="160" w:before="360"/>
      </w:pPr>
      <w:r>
        <w:rPr>
          <w:rFonts w:ascii="Arial" w:cs="Arial" w:eastAsia="Arial" w:hAnsi="Arial"/>
          <w:b/>
          <w:bCs/>
          <w:sz w:val="32"/>
          <w:szCs w:val="32"/>
        </w:rPr>
        <w:t xml:space="preserve">12. Tech requirements</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12. Yêu cầu kỹ thuật</w:t>
      </w:r>
    </w:p>
    <w:p>
      <w:pPr>
        <w:pStyle w:val="ListParagraph"/>
        <w:numPr>
          <w:ilvl w:val="0"/>
          <w:numId w:val="2"/>
        </w:numPr>
        <w:spacing w:after="0" w:before="40"/>
      </w:pPr>
      <w:r>
        <w:rPr>
          <w:rFonts w:ascii="Arial" w:cs="Arial" w:eastAsia="Arial" w:hAnsi="Arial"/>
          <w:sz w:val="22"/>
          <w:szCs w:val="22"/>
        </w:rPr>
        <w:t xml:space="preserve">Stack: Next.js 14+ (App Router) + Tailwind + TypeScript. Hosted on Vercel.</w:t>
      </w:r>
    </w:p>
    <w:p>
      <w:pPr>
        <w:pStyle w:val="ListParagraph"/>
        <w:numPr>
          <w:ilvl w:val="1"/>
          <w:numId w:val="2"/>
        </w:numPr>
        <w:spacing w:after="80" w:before="0"/>
      </w:pPr>
      <w:r>
        <w:rPr>
          <w:rFonts w:ascii="Arial" w:cs="Arial" w:eastAsia="Arial" w:hAnsi="Arial"/>
          <w:i/>
          <w:iCs/>
          <w:color w:val="1A3C2E"/>
          <w:sz w:val="22"/>
          <w:szCs w:val="22"/>
        </w:rPr>
        <w:t xml:space="preserve">Stack: Next.js 14+ (App Router) + Tailwind + TypeScript. Host trên Vercel.</w:t>
      </w:r>
    </w:p>
    <w:p>
      <w:pPr>
        <w:pStyle w:val="ListParagraph"/>
        <w:numPr>
          <w:ilvl w:val="0"/>
          <w:numId w:val="2"/>
        </w:numPr>
        <w:spacing w:after="0" w:before="40"/>
      </w:pPr>
      <w:r>
        <w:rPr>
          <w:rFonts w:ascii="Arial" w:cs="Arial" w:eastAsia="Arial" w:hAnsi="Arial"/>
          <w:sz w:val="22"/>
          <w:szCs w:val="22"/>
        </w:rPr>
        <w:t xml:space="preserve">CMS: Sanity, Contentful, or Notion-as-CMS for /insights — must support EN/VN bilingual content with one source.</w:t>
      </w:r>
    </w:p>
    <w:p>
      <w:pPr>
        <w:pStyle w:val="ListParagraph"/>
        <w:numPr>
          <w:ilvl w:val="1"/>
          <w:numId w:val="2"/>
        </w:numPr>
        <w:spacing w:after="80" w:before="0"/>
      </w:pPr>
      <w:r>
        <w:rPr>
          <w:rFonts w:ascii="Arial" w:cs="Arial" w:eastAsia="Arial" w:hAnsi="Arial"/>
          <w:i/>
          <w:iCs/>
          <w:color w:val="1A3C2E"/>
          <w:sz w:val="22"/>
          <w:szCs w:val="22"/>
        </w:rPr>
        <w:t xml:space="preserve">CMS: Sanity, Contentful hoặc Notion-as-CMS cho /insights — phải hỗ trợ song ngữ EN/VN từ một nguồn.</w:t>
      </w:r>
    </w:p>
    <w:p>
      <w:pPr>
        <w:pStyle w:val="ListParagraph"/>
        <w:numPr>
          <w:ilvl w:val="0"/>
          <w:numId w:val="2"/>
        </w:numPr>
        <w:spacing w:after="0" w:before="40"/>
      </w:pPr>
      <w:r>
        <w:rPr>
          <w:rFonts w:ascii="Arial" w:cs="Arial" w:eastAsia="Arial" w:hAnsi="Arial"/>
          <w:sz w:val="22"/>
          <w:szCs w:val="22"/>
        </w:rPr>
        <w:t xml:space="preserve">Forms: react-hook-form + zod validation. Server actions for submission. Postgres (Supabase or Neon) for lead storage.</w:t>
      </w:r>
    </w:p>
    <w:p>
      <w:pPr>
        <w:pStyle w:val="ListParagraph"/>
        <w:numPr>
          <w:ilvl w:val="1"/>
          <w:numId w:val="2"/>
        </w:numPr>
        <w:spacing w:after="80" w:before="0"/>
      </w:pPr>
      <w:r>
        <w:rPr>
          <w:rFonts w:ascii="Arial" w:cs="Arial" w:eastAsia="Arial" w:hAnsi="Arial"/>
          <w:i/>
          <w:iCs/>
          <w:color w:val="1A3C2E"/>
          <w:sz w:val="22"/>
          <w:szCs w:val="22"/>
        </w:rPr>
        <w:t xml:space="preserve">Form: react-hook-form + zod validation. Server actions để submit. Postgres (Supabase hoặc Neon) lưu lead.</w:t>
      </w:r>
    </w:p>
    <w:p>
      <w:pPr>
        <w:pStyle w:val="ListParagraph"/>
        <w:numPr>
          <w:ilvl w:val="0"/>
          <w:numId w:val="2"/>
        </w:numPr>
        <w:spacing w:after="0" w:before="40"/>
      </w:pPr>
      <w:r>
        <w:rPr>
          <w:rFonts w:ascii="Arial" w:cs="Arial" w:eastAsia="Arial" w:hAnsi="Arial"/>
          <w:sz w:val="22"/>
          <w:szCs w:val="22"/>
        </w:rPr>
        <w:t xml:space="preserve">Auto-report generation: server action calls Anthropic API (Claude) with intake data, generates bilingual PDF via Puppeteer or react-pdf, emails via Resend or Postmark.</w:t>
      </w:r>
    </w:p>
    <w:p>
      <w:pPr>
        <w:pStyle w:val="ListParagraph"/>
        <w:numPr>
          <w:ilvl w:val="1"/>
          <w:numId w:val="2"/>
        </w:numPr>
        <w:spacing w:after="80" w:before="0"/>
      </w:pPr>
      <w:r>
        <w:rPr>
          <w:rFonts w:ascii="Arial" w:cs="Arial" w:eastAsia="Arial" w:hAnsi="Arial"/>
          <w:i/>
          <w:iCs/>
          <w:color w:val="1A3C2E"/>
          <w:sz w:val="22"/>
          <w:szCs w:val="22"/>
        </w:rPr>
        <w:t xml:space="preserve">Sinh báo cáo tự động: server action gọi Anthropic API (Claude) với data intake, sinh PDF song ngữ qua Puppeteer hoặc react-pdf, gửi email qua Resend hoặc Postmark.</w:t>
      </w:r>
    </w:p>
    <w:p>
      <w:pPr>
        <w:pStyle w:val="ListParagraph"/>
        <w:numPr>
          <w:ilvl w:val="0"/>
          <w:numId w:val="2"/>
        </w:numPr>
        <w:spacing w:after="0" w:before="40"/>
      </w:pPr>
      <w:r>
        <w:rPr>
          <w:rFonts w:ascii="Arial" w:cs="Arial" w:eastAsia="Arial" w:hAnsi="Arial"/>
          <w:sz w:val="22"/>
          <w:szCs w:val="22"/>
        </w:rPr>
        <w:t xml:space="preserve">Payments: Stripe (cards, primary), Wise USD (manual confirm, secondary). On-chain payment in $MONO accepted (optional V2).</w:t>
      </w:r>
    </w:p>
    <w:p>
      <w:pPr>
        <w:pStyle w:val="ListParagraph"/>
        <w:numPr>
          <w:ilvl w:val="1"/>
          <w:numId w:val="2"/>
        </w:numPr>
        <w:spacing w:after="80" w:before="0"/>
      </w:pPr>
      <w:r>
        <w:rPr>
          <w:rFonts w:ascii="Arial" w:cs="Arial" w:eastAsia="Arial" w:hAnsi="Arial"/>
          <w:i/>
          <w:iCs/>
          <w:color w:val="1A3C2E"/>
          <w:sz w:val="22"/>
          <w:szCs w:val="22"/>
        </w:rPr>
        <w:t xml:space="preserve">Thanh toán: Stripe (thẻ, chính), Wise USD (xác nhận thủ công, phụ). Thanh toán on-chain bằng $MONO (tùy chọn V2).</w:t>
      </w:r>
    </w:p>
    <w:p>
      <w:pPr>
        <w:pStyle w:val="ListParagraph"/>
        <w:numPr>
          <w:ilvl w:val="0"/>
          <w:numId w:val="2"/>
        </w:numPr>
        <w:spacing w:after="0" w:before="40"/>
      </w:pPr>
      <w:r>
        <w:rPr>
          <w:rFonts w:ascii="Arial" w:cs="Arial" w:eastAsia="Arial" w:hAnsi="Arial"/>
          <w:sz w:val="22"/>
          <w:szCs w:val="22"/>
        </w:rPr>
        <w:t xml:space="preserve">Booking: Cal.com (preferred over Calendly for self-host option and EU data residency).</w:t>
      </w:r>
    </w:p>
    <w:p>
      <w:pPr>
        <w:pStyle w:val="ListParagraph"/>
        <w:numPr>
          <w:ilvl w:val="1"/>
          <w:numId w:val="2"/>
        </w:numPr>
        <w:spacing w:after="80" w:before="0"/>
      </w:pPr>
      <w:r>
        <w:rPr>
          <w:rFonts w:ascii="Arial" w:cs="Arial" w:eastAsia="Arial" w:hAnsi="Arial"/>
          <w:i/>
          <w:iCs/>
          <w:color w:val="1A3C2E"/>
          <w:sz w:val="22"/>
          <w:szCs w:val="22"/>
        </w:rPr>
        <w:t xml:space="preserve">Đặt lịch: Cal.com (ưu tiên hơn Calendly vì tự host và data EU).</w:t>
      </w:r>
    </w:p>
    <w:p>
      <w:pPr>
        <w:pStyle w:val="ListParagraph"/>
        <w:numPr>
          <w:ilvl w:val="0"/>
          <w:numId w:val="2"/>
        </w:numPr>
        <w:spacing w:after="0" w:before="40"/>
      </w:pPr>
      <w:r>
        <w:rPr>
          <w:rFonts w:ascii="Arial" w:cs="Arial" w:eastAsia="Arial" w:hAnsi="Arial"/>
          <w:sz w:val="22"/>
          <w:szCs w:val="22"/>
        </w:rPr>
        <w:t xml:space="preserve">Auth: not needed for V1 (everything is form-driven). Magic-link login for "save &amp; resume" only.</w:t>
      </w:r>
    </w:p>
    <w:p>
      <w:pPr>
        <w:pStyle w:val="ListParagraph"/>
        <w:numPr>
          <w:ilvl w:val="1"/>
          <w:numId w:val="2"/>
        </w:numPr>
        <w:spacing w:after="80" w:before="0"/>
      </w:pPr>
      <w:r>
        <w:rPr>
          <w:rFonts w:ascii="Arial" w:cs="Arial" w:eastAsia="Arial" w:hAnsi="Arial"/>
          <w:i/>
          <w:iCs/>
          <w:color w:val="1A3C2E"/>
          <w:sz w:val="22"/>
          <w:szCs w:val="22"/>
        </w:rPr>
        <w:t xml:space="preserve">Auth: V1 không cần. Magic-link chỉ cho "save &amp; resume".</w:t>
      </w:r>
    </w:p>
    <w:p>
      <w:pPr>
        <w:pStyle w:val="ListParagraph"/>
        <w:numPr>
          <w:ilvl w:val="0"/>
          <w:numId w:val="2"/>
        </w:numPr>
        <w:spacing w:after="0" w:before="40"/>
      </w:pPr>
      <w:r>
        <w:rPr>
          <w:rFonts w:ascii="Arial" w:cs="Arial" w:eastAsia="Arial" w:hAnsi="Arial"/>
          <w:sz w:val="22"/>
          <w:szCs w:val="22"/>
        </w:rPr>
        <w:t xml:space="preserve">i18n: next-intl. EN as default, VN as full mirror. URL structure: /vi/start, /vi/diagnostic, etc.</w:t>
      </w:r>
    </w:p>
    <w:p>
      <w:pPr>
        <w:pStyle w:val="ListParagraph"/>
        <w:numPr>
          <w:ilvl w:val="1"/>
          <w:numId w:val="2"/>
        </w:numPr>
        <w:spacing w:after="80" w:before="0"/>
      </w:pPr>
      <w:r>
        <w:rPr>
          <w:rFonts w:ascii="Arial" w:cs="Arial" w:eastAsia="Arial" w:hAnsi="Arial"/>
          <w:i/>
          <w:iCs/>
          <w:color w:val="1A3C2E"/>
          <w:sz w:val="22"/>
          <w:szCs w:val="22"/>
        </w:rPr>
        <w:t xml:space="preserve">i18n: next-intl. EN mặc định, VN bản dịch đầy đủ. URL: /vi/start, /vi/diagnostic, ...</w:t>
      </w:r>
    </w:p>
    <w:p>
      <w:pPr>
        <w:pStyle w:val="ListParagraph"/>
        <w:numPr>
          <w:ilvl w:val="0"/>
          <w:numId w:val="2"/>
        </w:numPr>
        <w:spacing w:after="0" w:before="40"/>
      </w:pPr>
      <w:r>
        <w:rPr>
          <w:rFonts w:ascii="Arial" w:cs="Arial" w:eastAsia="Arial" w:hAnsi="Arial"/>
          <w:sz w:val="22"/>
          <w:szCs w:val="22"/>
        </w:rPr>
        <w:t xml:space="preserve">Performance budget: LCP &lt; 2.0s, total JS &lt; 150KB gzipped, Lighthouse &gt; 95.</w:t>
      </w:r>
    </w:p>
    <w:p>
      <w:pPr>
        <w:pStyle w:val="ListParagraph"/>
        <w:numPr>
          <w:ilvl w:val="1"/>
          <w:numId w:val="2"/>
        </w:numPr>
        <w:spacing w:after="80" w:before="0"/>
      </w:pPr>
      <w:r>
        <w:rPr>
          <w:rFonts w:ascii="Arial" w:cs="Arial" w:eastAsia="Arial" w:hAnsi="Arial"/>
          <w:i/>
          <w:iCs/>
          <w:color w:val="1A3C2E"/>
          <w:sz w:val="22"/>
          <w:szCs w:val="22"/>
        </w:rPr>
        <w:t xml:space="preserve">Ngân sách hiệu năng: LCP &lt; 2.0s, JS tổng &lt; 150KB gzipped, Lighthouse &gt; 95.</w:t>
      </w:r>
    </w:p>
    <w:p>
      <w:pPr>
        <w:pStyle w:val="ListParagraph"/>
        <w:numPr>
          <w:ilvl w:val="0"/>
          <w:numId w:val="2"/>
        </w:numPr>
        <w:spacing w:after="0" w:before="40"/>
      </w:pPr>
      <w:r>
        <w:rPr>
          <w:rFonts w:ascii="Arial" w:cs="Arial" w:eastAsia="Arial" w:hAnsi="Arial"/>
          <w:sz w:val="22"/>
          <w:szCs w:val="22"/>
        </w:rPr>
        <w:t xml:space="preserve">Accessibility: WCAG 2.1 AA. Forms keyboard-navigable, contrast verified, screen-reader tested.</w:t>
      </w:r>
    </w:p>
    <w:p>
      <w:pPr>
        <w:pStyle w:val="ListParagraph"/>
        <w:numPr>
          <w:ilvl w:val="1"/>
          <w:numId w:val="2"/>
        </w:numPr>
        <w:spacing w:after="80" w:before="0"/>
      </w:pPr>
      <w:r>
        <w:rPr>
          <w:rFonts w:ascii="Arial" w:cs="Arial" w:eastAsia="Arial" w:hAnsi="Arial"/>
          <w:i/>
          <w:iCs/>
          <w:color w:val="1A3C2E"/>
          <w:sz w:val="22"/>
          <w:szCs w:val="22"/>
        </w:rPr>
        <w:t xml:space="preserve">Accessibility: WCAG 2.1 AA. Form điều hướng bằng phím, kiểm tra tương phản, test screen-reader.</w:t>
      </w:r>
    </w:p>
    <w:p>
      <w:pPr>
        <w:pStyle w:val="ListParagraph"/>
        <w:numPr>
          <w:ilvl w:val="0"/>
          <w:numId w:val="2"/>
        </w:numPr>
        <w:spacing w:after="0" w:before="40"/>
      </w:pPr>
      <w:r>
        <w:rPr>
          <w:rFonts w:ascii="Arial" w:cs="Arial" w:eastAsia="Arial" w:hAnsi="Arial"/>
          <w:sz w:val="22"/>
          <w:szCs w:val="22"/>
        </w:rPr>
        <w:t xml:space="preserve">Security: rate limiting on intake (Upstash Redis), CAPTCHA via Cloudflare Turnstile, honeypot fields.</w:t>
      </w:r>
    </w:p>
    <w:p>
      <w:pPr>
        <w:pStyle w:val="ListParagraph"/>
        <w:numPr>
          <w:ilvl w:val="1"/>
          <w:numId w:val="2"/>
        </w:numPr>
        <w:spacing w:after="80" w:before="0"/>
      </w:pPr>
      <w:r>
        <w:rPr>
          <w:rFonts w:ascii="Arial" w:cs="Arial" w:eastAsia="Arial" w:hAnsi="Arial"/>
          <w:i/>
          <w:iCs/>
          <w:color w:val="1A3C2E"/>
          <w:sz w:val="22"/>
          <w:szCs w:val="22"/>
        </w:rPr>
        <w:t xml:space="preserve">Bảo mật: rate limit intake (Upstash Redis), CAPTCHA qua Cloudflare Turnstile, trường honeypot.</w:t>
      </w:r>
    </w:p>
    <w:p>
      <w:pPr>
        <w:pStyle w:val="Heading1"/>
        <w:spacing w:after="160" w:before="360"/>
      </w:pPr>
      <w:r>
        <w:rPr>
          <w:rFonts w:ascii="Arial" w:cs="Arial" w:eastAsia="Arial" w:hAnsi="Arial"/>
          <w:b/>
          <w:bCs/>
          <w:sz w:val="32"/>
          <w:szCs w:val="32"/>
        </w:rPr>
        <w:t xml:space="preserve">13. SEO &amp; content strategy</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13. SEO &amp; chiến lược nội dung</w:t>
      </w:r>
    </w:p>
    <w:p>
      <w:pPr>
        <w:pStyle w:val="ListParagraph"/>
        <w:numPr>
          <w:ilvl w:val="0"/>
          <w:numId w:val="2"/>
        </w:numPr>
        <w:spacing w:after="0" w:before="40"/>
      </w:pPr>
      <w:r>
        <w:rPr>
          <w:rFonts w:ascii="Arial" w:cs="Arial" w:eastAsia="Arial" w:hAnsi="Arial"/>
          <w:sz w:val="22"/>
          <w:szCs w:val="22"/>
        </w:rPr>
        <w:t xml:space="preserve">Primary EN keywords: "tokenize real estate Vietnam", "RWA tokenization SME", "fractional real estate tokenization Asia", "tokenization consulting cost", "how to tokenize an asset".</w:t>
      </w:r>
    </w:p>
    <w:p>
      <w:pPr>
        <w:pStyle w:val="ListParagraph"/>
        <w:numPr>
          <w:ilvl w:val="1"/>
          <w:numId w:val="2"/>
        </w:numPr>
        <w:spacing w:after="80" w:before="0"/>
      </w:pPr>
      <w:r>
        <w:rPr>
          <w:rFonts w:ascii="Arial" w:cs="Arial" w:eastAsia="Arial" w:hAnsi="Arial"/>
          <w:i/>
          <w:iCs/>
          <w:color w:val="1A3C2E"/>
          <w:sz w:val="22"/>
          <w:szCs w:val="22"/>
        </w:rPr>
        <w:t xml:space="preserve">Keyword EN chính: "tokenize real estate Vietnam", "RWA tokenization SME", "fractional real estate tokenization Asia", "tokenization consulting cost", "how to tokenize an asset".</w:t>
      </w:r>
    </w:p>
    <w:p>
      <w:pPr>
        <w:pStyle w:val="ListParagraph"/>
        <w:numPr>
          <w:ilvl w:val="0"/>
          <w:numId w:val="2"/>
        </w:numPr>
        <w:spacing w:after="0" w:before="40"/>
      </w:pPr>
      <w:r>
        <w:rPr>
          <w:rFonts w:ascii="Arial" w:cs="Arial" w:eastAsia="Arial" w:hAnsi="Arial"/>
          <w:sz w:val="22"/>
          <w:szCs w:val="22"/>
        </w:rPr>
        <w:t xml:space="preserve">Primary VN keywords: "token hóa bất động sản Việt Nam", "RWA là gì", "phát hành token tài sản", "tư vấn token hóa", "blockchain bất động sản".</w:t>
      </w:r>
    </w:p>
    <w:p>
      <w:pPr>
        <w:pStyle w:val="ListParagraph"/>
        <w:numPr>
          <w:ilvl w:val="1"/>
          <w:numId w:val="2"/>
        </w:numPr>
        <w:spacing w:after="80" w:before="0"/>
      </w:pPr>
      <w:r>
        <w:rPr>
          <w:rFonts w:ascii="Arial" w:cs="Arial" w:eastAsia="Arial" w:hAnsi="Arial"/>
          <w:i/>
          <w:iCs/>
          <w:color w:val="1A3C2E"/>
          <w:sz w:val="22"/>
          <w:szCs w:val="22"/>
        </w:rPr>
        <w:t xml:space="preserve">Keyword VN chính: "token hóa bất động sản Việt Nam", "RWA là gì", "phát hành token tài sản", "tư vấn token hóa", "blockchain bất động sản".</w:t>
      </w:r>
    </w:p>
    <w:p>
      <w:pPr>
        <w:pStyle w:val="ListParagraph"/>
        <w:numPr>
          <w:ilvl w:val="0"/>
          <w:numId w:val="2"/>
        </w:numPr>
        <w:spacing w:after="0" w:before="40"/>
      </w:pPr>
      <w:r>
        <w:rPr>
          <w:rFonts w:ascii="Arial" w:cs="Arial" w:eastAsia="Arial" w:hAnsi="Arial"/>
          <w:sz w:val="22"/>
          <w:szCs w:val="22"/>
        </w:rPr>
        <w:t xml:space="preserve">Pillar articles (publish in first 90 days): "What is RWA tokenization?", "How much does tokenization actually cost in 2026?", "Tokenization in Vietnam: legal landscape", "Real estate tokenization: real benefits, real risks".</w:t>
      </w:r>
    </w:p>
    <w:p>
      <w:pPr>
        <w:pStyle w:val="ListParagraph"/>
        <w:numPr>
          <w:ilvl w:val="1"/>
          <w:numId w:val="2"/>
        </w:numPr>
        <w:spacing w:after="80" w:before="0"/>
      </w:pPr>
      <w:r>
        <w:rPr>
          <w:rFonts w:ascii="Arial" w:cs="Arial" w:eastAsia="Arial" w:hAnsi="Arial"/>
          <w:i/>
          <w:iCs/>
          <w:color w:val="1A3C2E"/>
          <w:sz w:val="22"/>
          <w:szCs w:val="22"/>
        </w:rPr>
        <w:t xml:space="preserve">Bài pillar (90 ngày đầu): "RWA là gì?", "Token hóa thực sự tốn bao nhiêu năm 2026?", "Token hóa tại Việt Nam: bối cảnh pháp lý", "Token hóa BĐS: lợi ích thật, rủi ro thật".</w:t>
      </w:r>
    </w:p>
    <w:p>
      <w:pPr>
        <w:pStyle w:val="ListParagraph"/>
        <w:numPr>
          <w:ilvl w:val="0"/>
          <w:numId w:val="2"/>
        </w:numPr>
        <w:spacing w:after="0" w:before="40"/>
      </w:pPr>
      <w:r>
        <w:rPr>
          <w:rFonts w:ascii="Arial" w:cs="Arial" w:eastAsia="Arial" w:hAnsi="Arial"/>
          <w:sz w:val="22"/>
          <w:szCs w:val="22"/>
        </w:rPr>
        <w:t xml:space="preserve">Schema: Article + FAQPage on /insights, Service + Offer on /services and /diagnostic, Organization on /about.</w:t>
      </w:r>
    </w:p>
    <w:p>
      <w:pPr>
        <w:pStyle w:val="ListParagraph"/>
        <w:numPr>
          <w:ilvl w:val="1"/>
          <w:numId w:val="2"/>
        </w:numPr>
        <w:spacing w:after="80" w:before="0"/>
      </w:pPr>
      <w:r>
        <w:rPr>
          <w:rFonts w:ascii="Arial" w:cs="Arial" w:eastAsia="Arial" w:hAnsi="Arial"/>
          <w:i/>
          <w:iCs/>
          <w:color w:val="1A3C2E"/>
          <w:sz w:val="22"/>
          <w:szCs w:val="22"/>
        </w:rPr>
        <w:t xml:space="preserve">Schema: Article + FAQPage trên /insights, Service + Offer trên /services và /diagnostic, Organization trên /about.</w:t>
      </w:r>
    </w:p>
    <w:p>
      <w:pPr>
        <w:pStyle w:val="ListParagraph"/>
        <w:numPr>
          <w:ilvl w:val="0"/>
          <w:numId w:val="2"/>
        </w:numPr>
        <w:spacing w:after="0" w:before="40"/>
      </w:pPr>
      <w:r>
        <w:rPr>
          <w:rFonts w:ascii="Arial" w:cs="Arial" w:eastAsia="Arial" w:hAnsi="Arial"/>
          <w:sz w:val="22"/>
          <w:szCs w:val="22"/>
        </w:rPr>
        <w:t xml:space="preserve">Backlinks: cross-link from medium.com/@demonopolrwa, docs.demonopol.com, demonopol.com partners page.</w:t>
      </w:r>
    </w:p>
    <w:p>
      <w:pPr>
        <w:pStyle w:val="ListParagraph"/>
        <w:numPr>
          <w:ilvl w:val="1"/>
          <w:numId w:val="2"/>
        </w:numPr>
        <w:spacing w:after="80" w:before="0"/>
      </w:pPr>
      <w:r>
        <w:rPr>
          <w:rFonts w:ascii="Arial" w:cs="Arial" w:eastAsia="Arial" w:hAnsi="Arial"/>
          <w:i/>
          <w:iCs/>
          <w:color w:val="1A3C2E"/>
          <w:sz w:val="22"/>
          <w:szCs w:val="22"/>
        </w:rPr>
        <w:t xml:space="preserve">Backlink: liên kết chéo từ medium, docs, trang partners của demonopol.com.</w:t>
      </w:r>
    </w:p>
    <w:p>
      <w:pPr>
        <w:pStyle w:val="Heading1"/>
        <w:spacing w:after="160" w:before="360"/>
      </w:pPr>
      <w:r>
        <w:rPr>
          <w:rFonts w:ascii="Arial" w:cs="Arial" w:eastAsia="Arial" w:hAnsi="Arial"/>
          <w:b/>
          <w:bCs/>
          <w:sz w:val="32"/>
          <w:szCs w:val="32"/>
        </w:rPr>
        <w:t xml:space="preserve">14. Out of scope (V1)</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14. Ngoài phạm vi (V1)</w:t>
      </w:r>
    </w:p>
    <w:p>
      <w:pPr>
        <w:pStyle w:val="ListParagraph"/>
        <w:numPr>
          <w:ilvl w:val="0"/>
          <w:numId w:val="2"/>
        </w:numPr>
        <w:spacing w:after="0" w:before="40"/>
      </w:pPr>
      <w:r>
        <w:rPr>
          <w:rFonts w:ascii="Arial" w:cs="Arial" w:eastAsia="Arial" w:hAnsi="Arial"/>
          <w:sz w:val="22"/>
          <w:szCs w:val="22"/>
        </w:rPr>
        <w:t xml:space="preserve">No live token-issuance interface on the site. Issuance happens through the Demonopol Tokenization Protocol after Mandate.</w:t>
      </w:r>
    </w:p>
    <w:p>
      <w:pPr>
        <w:pStyle w:val="ListParagraph"/>
        <w:numPr>
          <w:ilvl w:val="1"/>
          <w:numId w:val="2"/>
        </w:numPr>
        <w:spacing w:after="80" w:before="0"/>
      </w:pPr>
      <w:r>
        <w:rPr>
          <w:rFonts w:ascii="Arial" w:cs="Arial" w:eastAsia="Arial" w:hAnsi="Arial"/>
          <w:i/>
          <w:iCs/>
          <w:color w:val="1A3C2E"/>
          <w:sz w:val="22"/>
          <w:szCs w:val="22"/>
        </w:rPr>
        <w:t xml:space="preserve">Không có giao diện phát hành token trực tiếp trên site. Phát hành đi qua Tokenization Protocol sau Mandate.</w:t>
      </w:r>
    </w:p>
    <w:p>
      <w:pPr>
        <w:pStyle w:val="ListParagraph"/>
        <w:numPr>
          <w:ilvl w:val="0"/>
          <w:numId w:val="2"/>
        </w:numPr>
        <w:spacing w:after="0" w:before="40"/>
      </w:pPr>
      <w:r>
        <w:rPr>
          <w:rFonts w:ascii="Arial" w:cs="Arial" w:eastAsia="Arial" w:hAnsi="Arial"/>
          <w:sz w:val="22"/>
          <w:szCs w:val="22"/>
        </w:rPr>
        <w:t xml:space="preserve">No regulatory advice or legal opinions delivered through the site. We refer to qualified counsel.</w:t>
      </w:r>
    </w:p>
    <w:p>
      <w:pPr>
        <w:pStyle w:val="ListParagraph"/>
        <w:numPr>
          <w:ilvl w:val="1"/>
          <w:numId w:val="2"/>
        </w:numPr>
        <w:spacing w:after="80" w:before="0"/>
      </w:pPr>
      <w:r>
        <w:rPr>
          <w:rFonts w:ascii="Arial" w:cs="Arial" w:eastAsia="Arial" w:hAnsi="Arial"/>
          <w:i/>
          <w:iCs/>
          <w:color w:val="1A3C2E"/>
          <w:sz w:val="22"/>
          <w:szCs w:val="22"/>
        </w:rPr>
        <w:t xml:space="preserve">Không tư vấn pháp lý hay legal opinion qua site. Ta giới thiệu cho luật sư đủ tư cách.</w:t>
      </w:r>
    </w:p>
    <w:p>
      <w:pPr>
        <w:pStyle w:val="ListParagraph"/>
        <w:numPr>
          <w:ilvl w:val="0"/>
          <w:numId w:val="2"/>
        </w:numPr>
        <w:spacing w:after="0" w:before="40"/>
      </w:pPr>
      <w:r>
        <w:rPr>
          <w:rFonts w:ascii="Arial" w:cs="Arial" w:eastAsia="Arial" w:hAnsi="Arial"/>
          <w:sz w:val="22"/>
          <w:szCs w:val="22"/>
        </w:rPr>
        <w:t xml:space="preserve">No US investor onboarding flows (Reg D / S compliance not in scope V1).</w:t>
      </w:r>
    </w:p>
    <w:p>
      <w:pPr>
        <w:pStyle w:val="ListParagraph"/>
        <w:numPr>
          <w:ilvl w:val="1"/>
          <w:numId w:val="2"/>
        </w:numPr>
        <w:spacing w:after="80" w:before="0"/>
      </w:pPr>
      <w:r>
        <w:rPr>
          <w:rFonts w:ascii="Arial" w:cs="Arial" w:eastAsia="Arial" w:hAnsi="Arial"/>
          <w:i/>
          <w:iCs/>
          <w:color w:val="1A3C2E"/>
          <w:sz w:val="22"/>
          <w:szCs w:val="22"/>
        </w:rPr>
        <w:t xml:space="preserve">Không onboard nhà đầu tư Mỹ (Reg D / S không thuộc V1).</w:t>
      </w:r>
    </w:p>
    <w:p>
      <w:pPr>
        <w:pStyle w:val="ListParagraph"/>
        <w:numPr>
          <w:ilvl w:val="0"/>
          <w:numId w:val="2"/>
        </w:numPr>
        <w:spacing w:after="0" w:before="40"/>
      </w:pPr>
      <w:r>
        <w:rPr>
          <w:rFonts w:ascii="Arial" w:cs="Arial" w:eastAsia="Arial" w:hAnsi="Arial"/>
          <w:sz w:val="22"/>
          <w:szCs w:val="22"/>
        </w:rPr>
        <w:t xml:space="preserve">No DeFi yield products, no swap, no staking — those live on demonopol.com.</w:t>
      </w:r>
    </w:p>
    <w:p>
      <w:pPr>
        <w:pStyle w:val="ListParagraph"/>
        <w:numPr>
          <w:ilvl w:val="1"/>
          <w:numId w:val="2"/>
        </w:numPr>
        <w:spacing w:after="80" w:before="0"/>
      </w:pPr>
      <w:r>
        <w:rPr>
          <w:rFonts w:ascii="Arial" w:cs="Arial" w:eastAsia="Arial" w:hAnsi="Arial"/>
          <w:i/>
          <w:iCs/>
          <w:color w:val="1A3C2E"/>
          <w:sz w:val="22"/>
          <w:szCs w:val="22"/>
        </w:rPr>
        <w:t xml:space="preserve">Không có DeFi yield, swap, staking — những thứ đó nằm ở demonopol.com.</w:t>
      </w:r>
    </w:p>
    <w:p>
      <w:pPr>
        <w:pStyle w:val="ListParagraph"/>
        <w:numPr>
          <w:ilvl w:val="0"/>
          <w:numId w:val="2"/>
        </w:numPr>
        <w:spacing w:after="0" w:before="40"/>
      </w:pPr>
      <w:r>
        <w:rPr>
          <w:rFonts w:ascii="Arial" w:cs="Arial" w:eastAsia="Arial" w:hAnsi="Arial"/>
          <w:sz w:val="22"/>
          <w:szCs w:val="22"/>
        </w:rPr>
        <w:t xml:space="preserve">No live chat support V1. Email-driven. Add Crisp or Intercom only after &gt;50 leads/week.</w:t>
      </w:r>
    </w:p>
    <w:p>
      <w:pPr>
        <w:pStyle w:val="ListParagraph"/>
        <w:numPr>
          <w:ilvl w:val="1"/>
          <w:numId w:val="2"/>
        </w:numPr>
        <w:spacing w:after="80" w:before="0"/>
      </w:pPr>
      <w:r>
        <w:rPr>
          <w:rFonts w:ascii="Arial" w:cs="Arial" w:eastAsia="Arial" w:hAnsi="Arial"/>
          <w:i/>
          <w:iCs/>
          <w:color w:val="1A3C2E"/>
          <w:sz w:val="22"/>
          <w:szCs w:val="22"/>
        </w:rPr>
        <w:t xml:space="preserve">Không live chat V1. Đi qua email. Chỉ thêm Crisp/Intercom sau khi &gt;50 lead/tuần.</w:t>
      </w:r>
    </w:p>
    <w:p>
      <w:pPr>
        <w:pStyle w:val="Heading1"/>
        <w:spacing w:after="160" w:before="360"/>
      </w:pPr>
      <w:r>
        <w:rPr>
          <w:rFonts w:ascii="Arial" w:cs="Arial" w:eastAsia="Arial" w:hAnsi="Arial"/>
          <w:b/>
          <w:bCs/>
          <w:sz w:val="32"/>
          <w:szCs w:val="32"/>
        </w:rPr>
        <w:t xml:space="preserve">15. KPIs (90-day targets)</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15. KPI (mục tiêu 90 ngày)</w:t>
      </w:r>
    </w:p>
    <w:p>
      <w:pPr>
        <w:pStyle w:val="ListParagraph"/>
        <w:numPr>
          <w:ilvl w:val="0"/>
          <w:numId w:val="2"/>
        </w:numPr>
        <w:spacing w:after="0" w:before="40"/>
      </w:pPr>
      <w:r>
        <w:rPr>
          <w:rFonts w:ascii="Arial" w:cs="Arial" w:eastAsia="Arial" w:hAnsi="Arial"/>
          <w:sz w:val="22"/>
          <w:szCs w:val="22"/>
        </w:rPr>
        <w:t xml:space="preserve">Self-Check submissions: 200 in first 90 days.</w:t>
      </w:r>
    </w:p>
    <w:p>
      <w:pPr>
        <w:pStyle w:val="ListParagraph"/>
        <w:numPr>
          <w:ilvl w:val="1"/>
          <w:numId w:val="2"/>
        </w:numPr>
        <w:spacing w:after="80" w:before="0"/>
      </w:pPr>
      <w:r>
        <w:rPr>
          <w:rFonts w:ascii="Arial" w:cs="Arial" w:eastAsia="Arial" w:hAnsi="Arial"/>
          <w:i/>
          <w:iCs/>
          <w:color w:val="1A3C2E"/>
          <w:sz w:val="22"/>
          <w:szCs w:val="22"/>
        </w:rPr>
        <w:t xml:space="preserve">Số lượt Self-Check: 200 trong 90 ngày đầu.</w:t>
      </w:r>
    </w:p>
    <w:p>
      <w:pPr>
        <w:pStyle w:val="ListParagraph"/>
        <w:numPr>
          <w:ilvl w:val="0"/>
          <w:numId w:val="2"/>
        </w:numPr>
        <w:spacing w:after="0" w:before="40"/>
      </w:pPr>
      <w:r>
        <w:rPr>
          <w:rFonts w:ascii="Arial" w:cs="Arial" w:eastAsia="Arial" w:hAnsi="Arial"/>
          <w:sz w:val="22"/>
          <w:szCs w:val="22"/>
        </w:rPr>
        <w:t xml:space="preserve">Qualified rate (score ≥ 50): 25% (= 50 qualified).</w:t>
      </w:r>
    </w:p>
    <w:p>
      <w:pPr>
        <w:pStyle w:val="ListParagraph"/>
        <w:numPr>
          <w:ilvl w:val="1"/>
          <w:numId w:val="2"/>
        </w:numPr>
        <w:spacing w:after="80" w:before="0"/>
      </w:pPr>
      <w:r>
        <w:rPr>
          <w:rFonts w:ascii="Arial" w:cs="Arial" w:eastAsia="Arial" w:hAnsi="Arial"/>
          <w:i/>
          <w:iCs/>
          <w:color w:val="1A3C2E"/>
          <w:sz w:val="22"/>
          <w:szCs w:val="22"/>
        </w:rPr>
        <w:t xml:space="preserve">Tỷ lệ đạt chuẩn (điểm ≥ 50): 25% (= 50 lead chất lượng).</w:t>
      </w:r>
    </w:p>
    <w:p>
      <w:pPr>
        <w:pStyle w:val="ListParagraph"/>
        <w:numPr>
          <w:ilvl w:val="0"/>
          <w:numId w:val="2"/>
        </w:numPr>
        <w:spacing w:after="0" w:before="40"/>
      </w:pPr>
      <w:r>
        <w:rPr>
          <w:rFonts w:ascii="Arial" w:cs="Arial" w:eastAsia="Arial" w:hAnsi="Arial"/>
          <w:sz w:val="22"/>
          <w:szCs w:val="22"/>
        </w:rPr>
        <w:t xml:space="preserve">Diagnostic conversions from qualified: 15% (= 7–8 paid Diagnostics, ~$3,000 revenue).</w:t>
      </w:r>
    </w:p>
    <w:p>
      <w:pPr>
        <w:pStyle w:val="ListParagraph"/>
        <w:numPr>
          <w:ilvl w:val="1"/>
          <w:numId w:val="2"/>
        </w:numPr>
        <w:spacing w:after="80" w:before="0"/>
      </w:pPr>
      <w:r>
        <w:rPr>
          <w:rFonts w:ascii="Arial" w:cs="Arial" w:eastAsia="Arial" w:hAnsi="Arial"/>
          <w:i/>
          <w:iCs/>
          <w:color w:val="1A3C2E"/>
          <w:sz w:val="22"/>
          <w:szCs w:val="22"/>
        </w:rPr>
        <w:t xml:space="preserve">Tỷ lệ chuyển đổi Diagnostic từ qualified: 15% (= 7–8 Diagnostic, doanh thu ~$3,000).</w:t>
      </w:r>
    </w:p>
    <w:p>
      <w:pPr>
        <w:pStyle w:val="ListParagraph"/>
        <w:numPr>
          <w:ilvl w:val="0"/>
          <w:numId w:val="2"/>
        </w:numPr>
        <w:spacing w:after="0" w:before="40"/>
      </w:pPr>
      <w:r>
        <w:rPr>
          <w:rFonts w:ascii="Arial" w:cs="Arial" w:eastAsia="Arial" w:hAnsi="Arial"/>
          <w:sz w:val="22"/>
          <w:szCs w:val="22"/>
        </w:rPr>
        <w:t xml:space="preserve">Mandate conversion from Diagnostic: 30% target (= 2–3 mandates in 90 days).</w:t>
      </w:r>
    </w:p>
    <w:p>
      <w:pPr>
        <w:pStyle w:val="ListParagraph"/>
        <w:numPr>
          <w:ilvl w:val="1"/>
          <w:numId w:val="2"/>
        </w:numPr>
        <w:spacing w:after="80" w:before="0"/>
      </w:pPr>
      <w:r>
        <w:rPr>
          <w:rFonts w:ascii="Arial" w:cs="Arial" w:eastAsia="Arial" w:hAnsi="Arial"/>
          <w:i/>
          <w:iCs/>
          <w:color w:val="1A3C2E"/>
          <w:sz w:val="22"/>
          <w:szCs w:val="22"/>
        </w:rPr>
        <w:t xml:space="preserve">Tỷ lệ chuyển đổi Mandate từ Diagnostic: 30% (= 2–3 mandate trong 90 ngày).</w:t>
      </w:r>
    </w:p>
    <w:p>
      <w:pPr>
        <w:pStyle w:val="ListParagraph"/>
        <w:numPr>
          <w:ilvl w:val="0"/>
          <w:numId w:val="2"/>
        </w:numPr>
        <w:spacing w:after="0" w:before="40"/>
      </w:pPr>
      <w:r>
        <w:rPr>
          <w:rFonts w:ascii="Arial" w:cs="Arial" w:eastAsia="Arial" w:hAnsi="Arial"/>
          <w:sz w:val="22"/>
          <w:szCs w:val="22"/>
        </w:rPr>
        <w:t xml:space="preserve">Mandate average ticket: $15K target.</w:t>
      </w:r>
    </w:p>
    <w:p>
      <w:pPr>
        <w:pStyle w:val="ListParagraph"/>
        <w:numPr>
          <w:ilvl w:val="1"/>
          <w:numId w:val="2"/>
        </w:numPr>
        <w:spacing w:after="80" w:before="0"/>
      </w:pPr>
      <w:r>
        <w:rPr>
          <w:rFonts w:ascii="Arial" w:cs="Arial" w:eastAsia="Arial" w:hAnsi="Arial"/>
          <w:i/>
          <w:iCs/>
          <w:color w:val="1A3C2E"/>
          <w:sz w:val="22"/>
          <w:szCs w:val="22"/>
        </w:rPr>
        <w:t xml:space="preserve">Mandate trung bình mục tiêu: $15K.</w:t>
      </w:r>
    </w:p>
    <w:p>
      <w:pPr>
        <w:pStyle w:val="ListParagraph"/>
        <w:numPr>
          <w:ilvl w:val="0"/>
          <w:numId w:val="2"/>
        </w:numPr>
        <w:spacing w:after="0" w:before="40"/>
      </w:pPr>
      <w:r>
        <w:rPr>
          <w:rFonts w:ascii="Arial" w:cs="Arial" w:eastAsia="Arial" w:hAnsi="Arial"/>
          <w:sz w:val="22"/>
          <w:szCs w:val="22"/>
        </w:rPr>
        <w:t xml:space="preserve">Total target revenue 90 days: $33–48K (Diagnostics + 2–3 mandates), excluding success fees.</w:t>
      </w:r>
    </w:p>
    <w:p>
      <w:pPr>
        <w:pStyle w:val="ListParagraph"/>
        <w:numPr>
          <w:ilvl w:val="1"/>
          <w:numId w:val="2"/>
        </w:numPr>
        <w:spacing w:after="80" w:before="0"/>
      </w:pPr>
      <w:r>
        <w:rPr>
          <w:rFonts w:ascii="Arial" w:cs="Arial" w:eastAsia="Arial" w:hAnsi="Arial"/>
          <w:i/>
          <w:iCs/>
          <w:color w:val="1A3C2E"/>
          <w:sz w:val="22"/>
          <w:szCs w:val="22"/>
        </w:rPr>
        <w:t xml:space="preserve">Tổng doanh thu mục tiêu 90 ngày: $33–48K (Diagnostic + 2–3 mandate), chưa tính success fee.</w:t>
      </w:r>
    </w:p>
    <w:p>
      <w:pPr>
        <w:pStyle w:val="ListParagraph"/>
        <w:numPr>
          <w:ilvl w:val="0"/>
          <w:numId w:val="2"/>
        </w:numPr>
        <w:spacing w:after="0" w:before="40"/>
      </w:pPr>
      <w:r>
        <w:rPr>
          <w:rFonts w:ascii="Arial" w:cs="Arial" w:eastAsia="Arial" w:hAnsi="Arial"/>
          <w:sz w:val="22"/>
          <w:szCs w:val="22"/>
        </w:rPr>
        <w:t xml:space="preserve">Long-term: success-fee tail from launchpad raises is the real prize.</w:t>
      </w:r>
    </w:p>
    <w:p>
      <w:pPr>
        <w:pStyle w:val="ListParagraph"/>
        <w:numPr>
          <w:ilvl w:val="1"/>
          <w:numId w:val="2"/>
        </w:numPr>
        <w:spacing w:after="80" w:before="0"/>
      </w:pPr>
      <w:r>
        <w:rPr>
          <w:rFonts w:ascii="Arial" w:cs="Arial" w:eastAsia="Arial" w:hAnsi="Arial"/>
          <w:i/>
          <w:iCs/>
          <w:color w:val="1A3C2E"/>
          <w:sz w:val="22"/>
          <w:szCs w:val="22"/>
        </w:rPr>
        <w:t xml:space="preserve">Dài hạn: đuôi success-fee từ launchpad mới là phần thưởng thực sự.</w:t>
      </w:r>
    </w:p>
    <w:p>
      <w:pPr>
        <w:pStyle w:val="Heading1"/>
        <w:spacing w:after="160" w:before="360"/>
      </w:pPr>
      <w:r>
        <w:rPr>
          <w:rFonts w:ascii="Arial" w:cs="Arial" w:eastAsia="Arial" w:hAnsi="Arial"/>
          <w:b/>
          <w:bCs/>
          <w:sz w:val="32"/>
          <w:szCs w:val="32"/>
        </w:rPr>
        <w:t xml:space="preserve">16. Appendix — sources &amp; references</w:t>
      </w:r>
      <w:r>
        <w:rPr>
          <w:rFonts w:ascii="Arial" w:cs="Arial" w:eastAsia="Arial" w:hAnsi="Arial"/>
          <w:color w:val="888888"/>
          <w:sz w:val="28"/>
          <w:szCs w:val="28"/>
        </w:rPr>
        <w:t xml:space="preserve">  |  </w:t>
      </w:r>
      <w:r>
        <w:rPr>
          <w:rFonts w:ascii="Arial" w:cs="Arial" w:eastAsia="Arial" w:hAnsi="Arial"/>
          <w:b/>
          <w:bCs/>
          <w:color w:val="1A3C2E"/>
          <w:sz w:val="28"/>
          <w:szCs w:val="28"/>
        </w:rPr>
        <w:t xml:space="preserve">16. Phụ lục — nguồn &amp; tham chiếu</w:t>
      </w:r>
    </w:p>
    <w:p>
      <w:pPr>
        <w:spacing w:after="0" w:before="60"/>
      </w:pPr>
      <w:r>
        <w:rPr>
          <w:rFonts w:ascii="Arial" w:cs="Arial" w:eastAsia="Arial" w:hAnsi="Arial"/>
          <w:sz w:val="22"/>
          <w:szCs w:val="22"/>
        </w:rPr>
        <w:t xml:space="preserve">All market figures in this document come from public sources (rwa.xyz, BCG, McKinsey, InvestaX, RWA.io, World Economic Forum). No Demonopol-specific figures are stated unless verified. Any future addition of internal numbers must be confirmed with Guillaume in writing before publication.</w:t>
      </w:r>
    </w:p>
    <w:p>
      <w:pPr>
        <w:spacing w:after="120" w:before="0"/>
      </w:pPr>
      <w:r>
        <w:rPr>
          <w:rFonts w:ascii="Arial" w:cs="Arial" w:eastAsia="Arial" w:hAnsi="Arial"/>
          <w:i/>
          <w:iCs/>
          <w:color w:val="1A3C2E"/>
          <w:sz w:val="22"/>
          <w:szCs w:val="22"/>
        </w:rPr>
        <w:t xml:space="preserve">Mọi số liệu thị trường trong tài liệu này đến từ nguồn công khai (rwa.xyz, BCG, McKinsey, InvestaX, RWA.io, World Economic Forum). Không nêu số riêng của Demonopol khi chưa xác minh. Mọi bổ sung số nội bộ phải có xác nhận bằng văn bản từ Guillaume trước khi đăng.</w:t>
      </w:r>
    </w:p>
    <w:p>
      <w:pPr>
        <w:pStyle w:val="Heading2"/>
        <w:spacing w:after="120" w:before="240"/>
      </w:pPr>
      <w:r>
        <w:rPr>
          <w:rFonts w:ascii="Arial" w:cs="Arial" w:eastAsia="Arial" w:hAnsi="Arial"/>
          <w:b/>
          <w:bCs/>
          <w:sz w:val="26"/>
          <w:szCs w:val="26"/>
        </w:rPr>
        <w:t xml:space="preserve">Open questions back to Guillaume</w:t>
      </w:r>
      <w:r>
        <w:rPr>
          <w:rFonts w:ascii="Arial" w:cs="Arial" w:eastAsia="Arial" w:hAnsi="Arial"/>
          <w:color w:val="888888"/>
          <w:sz w:val="24"/>
          <w:szCs w:val="24"/>
        </w:rPr>
        <w:t xml:space="preserve">  |  </w:t>
      </w:r>
      <w:r>
        <w:rPr>
          <w:rFonts w:ascii="Arial" w:cs="Arial" w:eastAsia="Arial" w:hAnsi="Arial"/>
          <w:b/>
          <w:bCs/>
          <w:color w:val="1A3C2E"/>
          <w:sz w:val="24"/>
          <w:szCs w:val="24"/>
        </w:rPr>
        <w:t xml:space="preserve">Câu hỏi cần Guillaume xác nhận</w:t>
      </w:r>
    </w:p>
    <w:p>
      <w:pPr>
        <w:pStyle w:val="ListParagraph"/>
        <w:numPr>
          <w:ilvl w:val="0"/>
          <w:numId w:val="2"/>
        </w:numPr>
        <w:spacing w:after="0" w:before="40"/>
      </w:pPr>
      <w:r>
        <w:rPr>
          <w:rFonts w:ascii="Arial" w:cs="Arial" w:eastAsia="Arial" w:hAnsi="Arial"/>
          <w:sz w:val="22"/>
          <w:szCs w:val="22"/>
        </w:rPr>
        <w:t xml:space="preserve">Confirm subdomain: tokenize.demonopol.com vs rwa.demonopol.com vs services.demonopol.com.</w:t>
      </w:r>
    </w:p>
    <w:p>
      <w:pPr>
        <w:pStyle w:val="ListParagraph"/>
        <w:numPr>
          <w:ilvl w:val="1"/>
          <w:numId w:val="2"/>
        </w:numPr>
        <w:spacing w:after="80" w:before="0"/>
      </w:pPr>
      <w:r>
        <w:rPr>
          <w:rFonts w:ascii="Arial" w:cs="Arial" w:eastAsia="Arial" w:hAnsi="Arial"/>
          <w:i/>
          <w:iCs/>
          <w:color w:val="1A3C2E"/>
          <w:sz w:val="22"/>
          <w:szCs w:val="22"/>
        </w:rPr>
        <w:t xml:space="preserve">Xác nhận subdomain: tokenize / rwa / services.</w:t>
      </w:r>
    </w:p>
    <w:p>
      <w:pPr>
        <w:pStyle w:val="ListParagraph"/>
        <w:numPr>
          <w:ilvl w:val="0"/>
          <w:numId w:val="2"/>
        </w:numPr>
        <w:spacing w:after="0" w:before="40"/>
      </w:pPr>
      <w:r>
        <w:rPr>
          <w:rFonts w:ascii="Arial" w:cs="Arial" w:eastAsia="Arial" w:hAnsi="Arial"/>
          <w:sz w:val="22"/>
          <w:szCs w:val="22"/>
        </w:rPr>
        <w:t xml:space="preserve">Confirm dedicated email: tokenize@demonopol.com or reuse realty.hub@demonopol.com.</w:t>
      </w:r>
    </w:p>
    <w:p>
      <w:pPr>
        <w:pStyle w:val="ListParagraph"/>
        <w:numPr>
          <w:ilvl w:val="1"/>
          <w:numId w:val="2"/>
        </w:numPr>
        <w:spacing w:after="80" w:before="0"/>
      </w:pPr>
      <w:r>
        <w:rPr>
          <w:rFonts w:ascii="Arial" w:cs="Arial" w:eastAsia="Arial" w:hAnsi="Arial"/>
          <w:i/>
          <w:iCs/>
          <w:color w:val="1A3C2E"/>
          <w:sz w:val="22"/>
          <w:szCs w:val="22"/>
        </w:rPr>
        <w:t xml:space="preserve">Xác nhận email: tokenize@demonopol.com hay dùng lại realty.hub@demonopol.com.</w:t>
      </w:r>
    </w:p>
    <w:p>
      <w:pPr>
        <w:pStyle w:val="ListParagraph"/>
        <w:numPr>
          <w:ilvl w:val="0"/>
          <w:numId w:val="2"/>
        </w:numPr>
        <w:spacing w:after="0" w:before="40"/>
      </w:pPr>
      <w:r>
        <w:rPr>
          <w:rFonts w:ascii="Arial" w:cs="Arial" w:eastAsia="Arial" w:hAnsi="Arial"/>
          <w:sz w:val="22"/>
          <w:szCs w:val="22"/>
        </w:rPr>
        <w:t xml:space="preserve">Confirm whether Diagnostic call is delivered by Guillaume directly (V1) or by analyst (V2).</w:t>
      </w:r>
    </w:p>
    <w:p>
      <w:pPr>
        <w:pStyle w:val="ListParagraph"/>
        <w:numPr>
          <w:ilvl w:val="1"/>
          <w:numId w:val="2"/>
        </w:numPr>
        <w:spacing w:after="80" w:before="0"/>
      </w:pPr>
      <w:r>
        <w:rPr>
          <w:rFonts w:ascii="Arial" w:cs="Arial" w:eastAsia="Arial" w:hAnsi="Arial"/>
          <w:i/>
          <w:iCs/>
          <w:color w:val="1A3C2E"/>
          <w:sz w:val="22"/>
          <w:szCs w:val="22"/>
        </w:rPr>
        <w:t xml:space="preserve">Xác nhận Diagnostic do Guillaume trực tiếp (V1) hay analyst (V2).</w:t>
      </w:r>
    </w:p>
    <w:p>
      <w:pPr>
        <w:pStyle w:val="ListParagraph"/>
        <w:numPr>
          <w:ilvl w:val="0"/>
          <w:numId w:val="2"/>
        </w:numPr>
        <w:spacing w:after="0" w:before="40"/>
      </w:pPr>
      <w:r>
        <w:rPr>
          <w:rFonts w:ascii="Arial" w:cs="Arial" w:eastAsia="Arial" w:hAnsi="Arial"/>
          <w:sz w:val="22"/>
          <w:szCs w:val="22"/>
        </w:rPr>
        <w:t xml:space="preserve">Confirm Stripe entity (which legal entity invoices the client).</w:t>
      </w:r>
    </w:p>
    <w:p>
      <w:pPr>
        <w:pStyle w:val="ListParagraph"/>
        <w:numPr>
          <w:ilvl w:val="1"/>
          <w:numId w:val="2"/>
        </w:numPr>
        <w:spacing w:after="80" w:before="0"/>
      </w:pPr>
      <w:r>
        <w:rPr>
          <w:rFonts w:ascii="Arial" w:cs="Arial" w:eastAsia="Arial" w:hAnsi="Arial"/>
          <w:i/>
          <w:iCs/>
          <w:color w:val="1A3C2E"/>
          <w:sz w:val="22"/>
          <w:szCs w:val="22"/>
        </w:rPr>
        <w:t xml:space="preserve">Xác nhận pháp nhân Stripe (pháp nhân nào xuất hóa đơn cho khách).</w:t>
      </w:r>
    </w:p>
    <w:p>
      <w:pPr>
        <w:pStyle w:val="ListParagraph"/>
        <w:numPr>
          <w:ilvl w:val="0"/>
          <w:numId w:val="2"/>
        </w:numPr>
        <w:spacing w:after="0" w:before="40"/>
      </w:pPr>
      <w:r>
        <w:rPr>
          <w:rFonts w:ascii="Arial" w:cs="Arial" w:eastAsia="Arial" w:hAnsi="Arial"/>
          <w:sz w:val="22"/>
          <w:szCs w:val="22"/>
        </w:rPr>
        <w:t xml:space="preserve">Confirm legal review path: who signs off jurisdictional content for Vietnam, Singapore, EU?</w:t>
      </w:r>
    </w:p>
    <w:p>
      <w:pPr>
        <w:pStyle w:val="ListParagraph"/>
        <w:numPr>
          <w:ilvl w:val="1"/>
          <w:numId w:val="2"/>
        </w:numPr>
        <w:spacing w:after="80" w:before="0"/>
      </w:pPr>
      <w:r>
        <w:rPr>
          <w:rFonts w:ascii="Arial" w:cs="Arial" w:eastAsia="Arial" w:hAnsi="Arial"/>
          <w:i/>
          <w:iCs/>
          <w:color w:val="1A3C2E"/>
          <w:sz w:val="22"/>
          <w:szCs w:val="22"/>
        </w:rPr>
        <w:t xml:space="preserve">Xác nhận đường review pháp lý: ai duyệt nội dung jurisdiction cho VN, SG, EU?</w:t>
      </w:r>
    </w:p>
    <w:p>
      <w:pPr>
        <w:pStyle w:val="ListParagraph"/>
        <w:numPr>
          <w:ilvl w:val="0"/>
          <w:numId w:val="2"/>
        </w:numPr>
        <w:spacing w:after="0" w:before="40"/>
      </w:pPr>
      <w:r>
        <w:rPr>
          <w:rFonts w:ascii="Arial" w:cs="Arial" w:eastAsia="Arial" w:hAnsi="Arial"/>
          <w:sz w:val="22"/>
          <w:szCs w:val="22"/>
        </w:rPr>
        <w:t xml:space="preserve">Confirm $MONO payment acceptance for V1 or defer to V2.</w:t>
      </w:r>
    </w:p>
    <w:p>
      <w:pPr>
        <w:pStyle w:val="ListParagraph"/>
        <w:numPr>
          <w:ilvl w:val="1"/>
          <w:numId w:val="2"/>
        </w:numPr>
        <w:spacing w:after="80" w:before="0"/>
      </w:pPr>
      <w:r>
        <w:rPr>
          <w:rFonts w:ascii="Arial" w:cs="Arial" w:eastAsia="Arial" w:hAnsi="Arial"/>
          <w:i/>
          <w:iCs/>
          <w:color w:val="1A3C2E"/>
          <w:sz w:val="22"/>
          <w:szCs w:val="22"/>
        </w:rPr>
        <w:t xml:space="preserve">Xác nhận có nhận $MONO ngay V1 hay để 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B2D2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C2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B2D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Demonopol TaaS — Master Prompt</dc:title>
  <dc:creator>Demonopol</dc:creator>
  <dc:description>Master prompt for the Demonopol Tokenization-as-a-Service website</dc:description>
  <cp:lastModifiedBy>Un-named</cp:lastModifiedBy>
  <cp:revision>1</cp:revision>
  <dcterms:created xsi:type="dcterms:W3CDTF">2026-04-25T17:31:30.920Z</dcterms:created>
  <dcterms:modified xsi:type="dcterms:W3CDTF">2026-04-25T17:31:30.921Z</dcterms:modified>
</cp:coreProperties>
</file>

<file path=docProps/custom.xml><?xml version="1.0" encoding="utf-8"?>
<Properties xmlns="http://schemas.openxmlformats.org/officeDocument/2006/custom-properties" xmlns:vt="http://schemas.openxmlformats.org/officeDocument/2006/docPropsVTypes"/>
</file>