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9"/>
        <w:keepNext w:val="false"/>
        <w:keepLines w:val="false"/>
        <w:widowControl w:val="false"/>
        <w:pBdr/>
        <w:spacing/>
        <w:ind/>
        <w:rPr/>
      </w:pPr>
      <w:r/>
      <w:bookmarkStart w:id="2541" w:name="_Toc20955560"/>
      <w:r/>
      <w:bookmarkStart w:id="2542" w:name="_Toc29460995"/>
      <w:r/>
      <w:bookmarkStart w:id="2543" w:name="_Toc29505727"/>
      <w:r/>
      <w:bookmarkStart w:id="2544" w:name="_Toc36556252"/>
      <w:r/>
      <w:bookmarkStart w:id="2545" w:name="_Toc45881706"/>
      <w:r/>
      <w:bookmarkStart w:id="2546" w:name="_Toc51852344"/>
      <w:r/>
      <w:bookmarkStart w:id="2547" w:name="_Toc56620295"/>
      <w:r/>
      <w:bookmarkStart w:id="2548" w:name="_Toc64447935"/>
      <w:r/>
      <w:bookmarkStart w:id="2549" w:name="_Toc74152710"/>
      <w:r/>
      <w:bookmarkStart w:id="2550" w:name="_Toc88656135"/>
      <w:r/>
      <w:bookmarkStart w:id="2551" w:name="_Toc88657194"/>
      <w:r/>
      <w:bookmarkStart w:id="2552" w:name="_Toc105657228"/>
      <w:r/>
      <w:bookmarkStart w:id="2553" w:name="_Toc106108609"/>
      <w:r/>
      <w:bookmarkStart w:id="2554" w:name="_Toc112687702"/>
      <w:r/>
      <w:bookmarkStart w:id="2555" w:name="_Toc162518112"/>
      <w:r>
        <w:t xml:space="preserve">9.2.1.17</w:t>
      </w:r>
      <w:r>
        <w:tab/>
        <w:t xml:space="preserve">E1 RELEASE RESPONSE</w:t>
      </w:r>
      <w:bookmarkEnd w:id="2541"/>
      <w:r/>
      <w:bookmarkEnd w:id="2542"/>
      <w:r/>
      <w:bookmarkEnd w:id="2543"/>
      <w:r/>
      <w:bookmarkEnd w:id="2544"/>
      <w:r/>
      <w:bookmarkEnd w:id="2545"/>
      <w:r/>
      <w:bookmarkEnd w:id="2546"/>
      <w:r/>
      <w:bookmarkEnd w:id="2547"/>
      <w:r/>
      <w:bookmarkEnd w:id="2548"/>
      <w:r/>
      <w:bookmarkEnd w:id="2549"/>
      <w:r/>
      <w:bookmarkEnd w:id="2550"/>
      <w:r/>
      <w:bookmarkEnd w:id="2551"/>
      <w:r/>
      <w:bookmarkEnd w:id="2552"/>
      <w:r/>
      <w:bookmarkEnd w:id="2553"/>
      <w:r/>
      <w:bookmarkEnd w:id="2554"/>
      <w:r/>
      <w:bookmarkEnd w:id="2555"/>
      <w:r>
        <w:t xml:space="preserve"> </w:t>
      </w:r>
      <w:r/>
      <w:r/>
    </w:p>
    <w:p>
      <w:pPr>
        <w:widowControl w:val="false"/>
        <w:pBdr/>
        <w:spacing/>
        <w:ind/>
        <w:rPr/>
      </w:pPr>
      <w:r>
        <w:t xml:space="preserve">This message is sent by both the gNB-CU-CP and the gNB-CU-UP as a response to an E1 RELEASE REQUEST</w:t>
      </w:r>
      <w:r>
        <w:rPr>
          <w:rFonts w:eastAsia="MS Mincho"/>
        </w:rPr>
        <w:t xml:space="preserve"> message</w:t>
      </w:r>
      <w:r>
        <w:t xml:space="preserve">.</w:t>
      </w:r>
      <w:r/>
      <w:r/>
    </w:p>
    <w:p>
      <w:pPr>
        <w:widowControl w:val="false"/>
        <w:pBdr/>
        <w:spacing/>
        <w:ind/>
        <w:rPr/>
      </w:pPr>
      <w:r>
        <w:t xml:space="preserve">Direction: gNB-CU-UP </w:t>
      </w:r>
      <w:r>
        <w:rPr>
          <w:rFonts w:ascii="Symbol" w:hAnsi="Symbol" w:eastAsia="Symbol" w:cs="Symbol"/>
        </w:rPr>
        <w:t xml:space="preserve">®</w:t>
      </w:r>
      <w:r>
        <w:t xml:space="preserve"> gNB-CU-CP and gNB-CU-CP </w:t>
      </w:r>
      <w:r>
        <w:rPr>
          <w:rFonts w:ascii="Symbol" w:hAnsi="Symbol" w:eastAsia="Symbol" w:cs="Symbol"/>
        </w:rPr>
        <w:t xml:space="preserve">®</w:t>
      </w:r>
      <w:r>
        <w:t xml:space="preserve"> gNB-CU-UP.</w:t>
      </w:r>
      <w:r/>
      <w:r/>
    </w:p>
    <w:tbl>
      <w:tblPr>
        <w:tblW w:w="5048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1080"/>
        <w:gridCol w:w="1079"/>
        <w:gridCol w:w="1513"/>
        <w:gridCol w:w="1728"/>
        <w:gridCol w:w="1079"/>
        <w:gridCol w:w="1079"/>
      </w:tblGrid>
      <w:tr>
        <w:trPr/>
        <w:tc>
          <w:tcPr>
            <w:tcBorders/>
            <w:tcW w:w="1112" w:type="pct"/>
            <w:textDirection w:val="lrTb"/>
            <w:noWrap w:val="false"/>
          </w:tcPr>
          <w:p>
            <w:pPr>
              <w:pStyle w:val="1_635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  <w:t xml:space="preserve">IE/Group Name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555" w:type="pct"/>
            <w:textDirection w:val="lrTb"/>
            <w:noWrap w:val="false"/>
          </w:tcPr>
          <w:p>
            <w:pPr>
              <w:pStyle w:val="1_635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  <w:t xml:space="preserve">Presence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555" w:type="pct"/>
            <w:textDirection w:val="lrTb"/>
            <w:noWrap w:val="false"/>
          </w:tcPr>
          <w:p>
            <w:pPr>
              <w:pStyle w:val="1_635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  <w:t xml:space="preserve">Range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778" w:type="pct"/>
            <w:textDirection w:val="lrTb"/>
            <w:noWrap w:val="false"/>
          </w:tcPr>
          <w:p>
            <w:pPr>
              <w:pStyle w:val="1_635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  <w:t xml:space="preserve">IE type and reference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889" w:type="pct"/>
            <w:textDirection w:val="lrTb"/>
            <w:noWrap w:val="false"/>
          </w:tcPr>
          <w:p>
            <w:pPr>
              <w:pStyle w:val="1_635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  <w:t xml:space="preserve">Semantics description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555" w:type="pct"/>
            <w:textDirection w:val="lrTb"/>
            <w:noWrap w:val="false"/>
          </w:tcPr>
          <w:p>
            <w:pPr>
              <w:pStyle w:val="1_635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  <w:t xml:space="preserve">Criticality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555" w:type="pct"/>
            <w:textDirection w:val="lrTb"/>
            <w:noWrap w:val="false"/>
          </w:tcPr>
          <w:p>
            <w:pPr>
              <w:pStyle w:val="1_635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  <w:t xml:space="preserve">Assigned Criticality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</w:tr>
      <w:tr>
        <w:trPr/>
        <w:tc>
          <w:tcPr>
            <w:tcBorders/>
            <w:tcW w:w="1112" w:type="pct"/>
            <w:textDirection w:val="lrTb"/>
            <w:noWrap w:val="false"/>
          </w:tcPr>
          <w:p>
            <w:pPr>
              <w:pStyle w:val="1_634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  <w:t xml:space="preserve">Message Type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555" w:type="pct"/>
            <w:textDirection w:val="lrTb"/>
            <w:noWrap w:val="false"/>
          </w:tcPr>
          <w:p>
            <w:pPr>
              <w:pStyle w:val="1_634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  <w:t xml:space="preserve">M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555" w:type="pct"/>
            <w:textDirection w:val="lrTb"/>
            <w:noWrap w:val="false"/>
          </w:tcPr>
          <w:p>
            <w:pPr>
              <w:pStyle w:val="1_634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778" w:type="pct"/>
            <w:textDirection w:val="lrTb"/>
            <w:noWrap w:val="false"/>
          </w:tcPr>
          <w:p>
            <w:pPr>
              <w:pStyle w:val="1_634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  <w:t xml:space="preserve">9.3.1.1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889" w:type="pct"/>
            <w:textDirection w:val="lrTb"/>
            <w:noWrap w:val="false"/>
          </w:tcPr>
          <w:p>
            <w:pPr>
              <w:pStyle w:val="1_634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555" w:type="pct"/>
            <w:textDirection w:val="lrTb"/>
            <w:noWrap w:val="false"/>
          </w:tcPr>
          <w:p>
            <w:pPr>
              <w:pStyle w:val="1_636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  <w:t xml:space="preserve">YES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555" w:type="pct"/>
            <w:textDirection w:val="lrTb"/>
            <w:noWrap w:val="false"/>
          </w:tcPr>
          <w:p>
            <w:pPr>
              <w:pStyle w:val="1_636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  <w:t xml:space="preserve">reject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</w:tr>
      <w:tr>
        <w:trPr/>
        <w:tc>
          <w:tcPr>
            <w:tcBorders/>
            <w:tcW w:w="1112" w:type="pct"/>
            <w:textDirection w:val="lrTb"/>
            <w:noWrap w:val="false"/>
          </w:tcPr>
          <w:p>
            <w:pPr>
              <w:pStyle w:val="1_634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  <w:t xml:space="preserve">Transaction ID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555" w:type="pct"/>
            <w:textDirection w:val="lrTb"/>
            <w:noWrap w:val="false"/>
          </w:tcPr>
          <w:p>
            <w:pPr>
              <w:pStyle w:val="1_634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  <w:t xml:space="preserve">M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555" w:type="pct"/>
            <w:textDirection w:val="lrTb"/>
            <w:noWrap w:val="false"/>
          </w:tcPr>
          <w:p>
            <w:pPr>
              <w:pStyle w:val="1_634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778" w:type="pct"/>
            <w:textDirection w:val="lrTb"/>
            <w:noWrap w:val="false"/>
          </w:tcPr>
          <w:p>
            <w:pPr>
              <w:pStyle w:val="1_634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  <w:t xml:space="preserve">9.3.1.53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889" w:type="pct"/>
            <w:textDirection w:val="lrTb"/>
            <w:noWrap w:val="false"/>
          </w:tcPr>
          <w:p>
            <w:pPr>
              <w:pStyle w:val="1_634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555" w:type="pct"/>
            <w:textDirection w:val="lrTb"/>
            <w:noWrap w:val="false"/>
          </w:tcPr>
          <w:p>
            <w:pPr>
              <w:pStyle w:val="1_636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  <w:t xml:space="preserve">YES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555" w:type="pct"/>
            <w:textDirection w:val="lrTb"/>
            <w:noWrap w:val="false"/>
          </w:tcPr>
          <w:p>
            <w:pPr>
              <w:pStyle w:val="1_636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  <w:t xml:space="preserve">reject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</w:tr>
      <w:tr>
        <w:trPr/>
        <w:tc>
          <w:tcPr>
            <w:tcBorders/>
            <w:tcW w:w="1112" w:type="pct"/>
            <w:textDirection w:val="lrTb"/>
            <w:noWrap w:val="false"/>
          </w:tcPr>
          <w:p>
            <w:pPr>
              <w:pStyle w:val="1_634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 xml:space="preserve">Criticality Diagnostics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555" w:type="pct"/>
            <w:textDirection w:val="lrTb"/>
            <w:noWrap w:val="false"/>
          </w:tcPr>
          <w:p>
            <w:pPr>
              <w:pStyle w:val="1_634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 xml:space="preserve">O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555" w:type="pct"/>
            <w:textDirection w:val="lrTb"/>
            <w:noWrap w:val="false"/>
          </w:tcPr>
          <w:p>
            <w:pPr>
              <w:pStyle w:val="1_634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778" w:type="pct"/>
            <w:textDirection w:val="lrTb"/>
            <w:noWrap w:val="false"/>
          </w:tcPr>
          <w:p>
            <w:pPr>
              <w:pStyle w:val="1_634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 xml:space="preserve">9.3.1.3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889" w:type="pct"/>
            <w:textDirection w:val="lrTb"/>
            <w:noWrap w:val="false"/>
          </w:tcPr>
          <w:p>
            <w:pPr>
              <w:pStyle w:val="1_634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lang w:eastAsia="ja-JP"/>
              </w:rPr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555" w:type="pct"/>
            <w:textDirection w:val="lrTb"/>
            <w:noWrap w:val="false"/>
          </w:tcPr>
          <w:p>
            <w:pPr>
              <w:pStyle w:val="1_636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 xml:space="preserve">YES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  <w:tc>
          <w:tcPr>
            <w:tcBorders/>
            <w:tcW w:w="555" w:type="pct"/>
            <w:textDirection w:val="lrTb"/>
            <w:noWrap w:val="false"/>
          </w:tcPr>
          <w:p>
            <w:pPr>
              <w:pStyle w:val="1_636"/>
              <w:keepNext w:val="false"/>
              <w:keepLines w:val="false"/>
              <w:widowControl w:val="false"/>
              <w:pBdr/>
              <w:spacing/>
              <w:ind/>
              <w:rPr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 xml:space="preserve">ignore</w:t>
            </w:r>
            <w:r>
              <w:rPr>
                <w:lang w:eastAsia="ja-JP"/>
              </w:rPr>
            </w:r>
            <w:r>
              <w:rPr>
                <w:lang w:eastAsia="ja-JP"/>
              </w:rPr>
            </w:r>
          </w:p>
        </w:tc>
      </w:tr>
    </w:tbl>
    <w:p>
      <w:pPr>
        <w:widowControl w:val="false"/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MS Mincho">
    <w:panose1 w:val="0202050305040509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paragraph" w:styleId="1_635" w:customStyle="1">
    <w:name w:val="TAH"/>
    <w:basedOn w:val="1_636"/>
    <w:link w:val="884"/>
    <w:qFormat/>
    <w:pPr>
      <w:keepNext w:val="true"/>
      <w:keepLines w:val="tru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40" w:lineRule="auto"/>
      <w:ind w:right="0" w:firstLine="0" w:left="0"/>
      <w:contextualSpacing w:val="false"/>
      <w:jc w:val="center"/>
    </w:pPr>
    <w:rPr>
      <w:rFonts w:ascii="Arial" w:hAnsi="Arial" w:eastAsia="Times New Roman" w:cs="Times New Roman"/>
      <w:b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8"/>
      <w:szCs w:val="20"/>
      <w:highlight w:val="none"/>
      <w:u w:val="none"/>
      <w:vertAlign w:val="baseline"/>
      <w:rtl w:val="0"/>
      <w:cs w:val="0"/>
      <w:lang w:val="en-GB" w:eastAsia="ko-KR" w:bidi="ar-SA"/>
      <w14:ligatures w14:val="none"/>
    </w:rPr>
  </w:style>
  <w:style w:type="paragraph" w:styleId="1_636" w:customStyle="1">
    <w:name w:val="TAC"/>
    <w:basedOn w:val="1_634"/>
    <w:link w:val="885"/>
    <w:qFormat/>
    <w:pPr>
      <w:keepNext w:val="true"/>
      <w:keepLines w:val="tru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40" w:lineRule="auto"/>
      <w:ind w:right="0" w:firstLine="0" w:left="0"/>
      <w:contextualSpacing w:val="false"/>
      <w:jc w:val="center"/>
    </w:pPr>
    <w:rPr>
      <w:rFonts w:ascii="Arial" w:hAnsi="Arial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8"/>
      <w:szCs w:val="20"/>
      <w:highlight w:val="none"/>
      <w:u w:val="none"/>
      <w:vertAlign w:val="baseline"/>
      <w:rtl w:val="0"/>
      <w:cs w:val="0"/>
      <w:lang w:val="en-GB" w:eastAsia="ko-KR" w:bidi="ar-SA"/>
      <w14:ligatures w14:val="none"/>
    </w:rPr>
  </w:style>
  <w:style w:type="paragraph" w:styleId="1_634" w:customStyle="1">
    <w:name w:val="TAL"/>
    <w:basedOn w:val="817"/>
    <w:link w:val="881"/>
    <w:qFormat/>
    <w:pPr>
      <w:keepNext w:val="true"/>
      <w:keepLines w:val="tru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Arial" w:hAnsi="Arial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8"/>
      <w:szCs w:val="20"/>
      <w:highlight w:val="none"/>
      <w:u w:val="none"/>
      <w:vertAlign w:val="baseline"/>
      <w:rtl w:val="0"/>
      <w:cs w:val="0"/>
      <w:lang w:val="en-GB" w:eastAsia="ko-KR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2024-05-15T13:59:41Z</dcterms:modified>
</cp:coreProperties>
</file>