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2: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3: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4: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5: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6: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7: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8: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9: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10: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11: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12: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p>
      <w:r>
        <w:br w:type="page"/>
      </w:r>
    </w:p>
    <w:p>
      <w:pPr>
        <w:pStyle w:val="Heading1"/>
      </w:pPr>
      <w:r>
        <w:t>Section 13: Analysis of a Formal Technical Topic</w:t>
      </w:r>
    </w:p>
    <w:p>
      <w:r>
        <w:t>This section presents a detailed discussion on a randomized technical subject relevant to modern information systems. The purpose of this document is to serve as a structured input for OCR and automated parsing systems. Each section includes formal language, consistent formatting, and multi-paragraph compositions.</w:t>
        <w:br/>
        <w:br/>
        <w:t>In contemporary computing environments, modular architectures play a key role in both scalability and maintainability. Organizations that adopt modular frameworks tend to achieve higher efficiency in system upgrades, component isolation, and risk management. Furthermore, interoperability across distributed components enhances resilience while allowing independent deployment cycles.</w:t>
        <w:br/>
        <w:br/>
        <w:t>A core aspect of this topic also involves dependency governance. By maintaining strict boundaries between modules and enforcing stable interfaces, engineers reduce integration issues and prevent unnecessary system-wide failures. This governance model supports version control, automated testing, and long-term lifecycle alignment with organizational objectives.</w:t>
        <w:br/>
        <w:br/>
        <w:t>Overall, this section contributes to the understanding of modular system methodologies by providing a structured and formal discussion that can be parsed, summarized, and evaluated by computational linguistic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