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left"/>
      </w:pPr>
      <w:r>
        <w:drawing>
          <wp:inline xmlns:a="http://schemas.openxmlformats.org/drawingml/2006/main" xmlns:pic="http://schemas.openxmlformats.org/drawingml/2006/picture">
            <wp:extent cx="1600200" cy="678104"/>
            <wp:docPr id="1" name="Picture 1" title="VibePerform logo" descr="VibePerform wordmark with purple sparkle symb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perform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7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</w:pPr>
      <w:r>
        <w:rPr>
          <w:rFonts w:ascii="Arial" w:hAnsi="Arial"/>
          <w:b/>
          <w:i w:val="0"/>
          <w:color w:val="7E22CE"/>
          <w:sz w:val="18"/>
        </w:rPr>
        <w:t>ANGEBOT | EXPLORE WORKSHOP</w:t>
      </w:r>
    </w:p>
    <w:p>
      <w:pPr>
        <w:spacing w:before="0" w:after="60" w:line="245" w:lineRule="auto"/>
      </w:pPr>
      <w:r>
        <w:rPr>
          <w:rFonts w:ascii="Arial" w:hAnsi="Arial"/>
          <w:b/>
          <w:i w:val="0"/>
          <w:color w:val="0F172A"/>
          <w:sz w:val="60"/>
        </w:rPr>
        <w:t>Strategischer Explore Workshop</w:t>
      </w:r>
    </w:p>
    <w:p>
      <w:pPr>
        <w:spacing w:before="0" w:after="360" w:line="276" w:lineRule="auto"/>
        <w:pBdr>
          <w:bottom w:val="single" w:sz="18" w:space="12" w:color="A855F7"/>
        </w:pBdr>
      </w:pPr>
      <w:r>
        <w:rPr>
          <w:rFonts w:ascii="Arial" w:hAnsi="Arial"/>
          <w:b w:val="0"/>
          <w:i w:val="0"/>
          <w:color w:val="475569"/>
          <w:sz w:val="28"/>
        </w:rPr>
        <w:t>Von der Analyse zur Vision. Von der Überforderung zu absoluter Klarheit.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64748B"/>
                <w:sz w:val="18"/>
              </w:rPr>
              <w:t>Angebot für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F172A"/>
                <w:sz w:val="19"/>
              </w:rPr>
              <w:t>[Kundenname / Organisation]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64748B"/>
                <w:sz w:val="18"/>
              </w:rPr>
              <w:t>Leistungsbaustein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Phase 1: Strategic Discovery Sprint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64748B"/>
                <w:sz w:val="18"/>
              </w:rPr>
              <w:t>Format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F172A"/>
                <w:sz w:val="19"/>
              </w:rPr>
              <w:t>1 Tag vor Ort oder 2 Tage remote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64748B"/>
                <w:sz w:val="18"/>
              </w:rPr>
              <w:t>Stand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F172A"/>
                <w:sz w:val="19"/>
              </w:rPr>
              <w:t>28.05.2026</w:t>
            </w:r>
          </w:p>
        </w:tc>
      </w:tr>
    </w:tbl>
    <w:p>
      <w:pPr>
        <w:spacing w:before="0" w:after="200" w:line="283" w:lineRule="auto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60368"/>
            <wp:docPr id="2" name="Picture 2" title="Explore Workshop hero image" descr="Workshop table with leaders, process cards, and AI workflow sketch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perform-explore-workshop-h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603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6F0FF"/>
          </w:tcPr>
          <w:p>
            <w:pPr>
              <w:spacing w:after="60"/>
            </w:pPr>
            <w:r>
              <w:rPr>
                <w:rFonts w:ascii="Arial" w:hAnsi="Arial"/>
                <w:b/>
                <w:color w:val="7E22CE"/>
                <w:sz w:val="19"/>
              </w:rPr>
              <w:t>Kurzfassung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color w:val="334155"/>
                <w:sz w:val="20"/>
              </w:rPr>
              <w:t>Der Explore Workshop schafft eine belastbare Entscheidungsgrundlage: Wir identifizieren business-relevante KI-Hebel, priorisieren Use Cases nach Wirkung und Umsetzbarkeit und dokumentieren die Voraussetzungen für Phase 2.</w:t>
            </w:r>
          </w:p>
        </w:tc>
      </w:tr>
    </w:tbl>
    <w:p>
      <w:pPr>
        <w:spacing w:before="0" w:after="80" w:line="283" w:lineRule="auto"/>
      </w:pPr>
    </w:p>
    <w:p>
      <w:pPr>
        <w:sectPr>
          <w:headerReference w:type="first" r:id="rId9"/>
          <w:footerReference w:type="first" r:id="rId10"/>
          <w:headerReference w:type="default" r:id="rId11"/>
          <w:footerReference w:type="default" r:id="rId12"/>
          <w:pgSz w:w="12240" w:h="15840"/>
          <w:pgMar w:top="1123" w:right="1238" w:bottom="1123" w:left="1238" w:header="504" w:footer="504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1. Ausgangslage und Zielbild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Viele Unternehmen starten mit einzelnen KI-Experimenten, ohne ein gemeinsames Lagebild über Ziele, Prozesse, Daten und technische Voraussetzungen zu haben. Dadurch entstehen Demo-Erfolge, aber selten skalierbarer Nutzen.</w:t>
      </w:r>
    </w:p>
    <w:p>
      <w:pPr>
        <w:spacing w:before="0" w:after="12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Der Explore Workshop setzt genau hier an. Führung, Fachbereiche, IT/Data und Prozessverantwortliche entwickeln gemeinsam ein priorisiertes Bild der KI-Potenziale und entscheiden, welcher Use Case in der nächsten Phase konkret designt oder pilotiert werden sollte.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8FAFC"/>
          </w:tcPr>
          <w:p>
            <w:pPr>
              <w:spacing w:after="60"/>
            </w:pPr>
            <w:r>
              <w:rPr>
                <w:rFonts w:ascii="Arial" w:hAnsi="Arial"/>
                <w:b/>
                <w:color w:val="7E22CE"/>
                <w:sz w:val="19"/>
              </w:rPr>
              <w:t>Ziel des Angebots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color w:val="334155"/>
                <w:sz w:val="20"/>
              </w:rPr>
              <w:t>Nach dem Workshop liegt eine priorisierte KI-Roadmap inklusive Use-Case-Briefs, Value-/Effort-Bewertung, ROI-Annahmen und technischen Voraussetzungen vor.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2. Leistungsumfang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Baustein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Inhalt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Ergebnis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Vorbereitung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Zielklärung, Teilnehmerkreis, Prozess- und Datenkontext, vorhandene Initiativen.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Fokussierte Workshop-Hypothesen und Materialliste.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Workshop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Moderierte Analyse von Strategie, digitaler Reife, Datenlage, Prozesshebeln und Umsetzungsbild.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Gemeinsames Lagebild und bewertete Use-Case-Kandidaten.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Auswertung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Verdichtung der Ergebnisse, Priorisierung, ROI-Annahmen, Abhängigkeiten und nächste Schritte.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Management-taugliche Roadmap für Phase 2.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3. Workshop-Agenda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920"/>
        <w:gridCol w:w="5190"/>
      </w:tblGrid>
      <w:tr>
        <w:trPr>
          <w:tblHeader w:val="true"/>
        </w:trP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Zeit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Modul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Fokus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09:00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Kick-off und Ziele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Business-Prioritäten, Erfolgskriterien, Entscheidungslogik.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09:45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Prozess- und Problem-Inventur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Manuelle Übergaben, wiederkehrende Abstimmung, Datenbrüche.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11:15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KI-Inspiration mit Realitätscheck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Relevante Beispiele aus Vertrieb, Service und Operations.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12:30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Pause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Mittagspause und informelle Klärungen.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13:15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Use-Case-Briefs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Business Value, Datenbedarf, technische Machbarkeit, Risiken.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15:15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Impact-Effort-Priorisierung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Bewertung nach Wirkung, Aufwand, Abhängigkeit und Akzeptanz.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16:30</w:t>
            </w:r>
          </w:p>
        </w:tc>
        <w:tc>
          <w:tcPr>
            <w:tcW w:type="dxa" w:w="2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Roadmap und Management-Entscheidung</w:t>
            </w:r>
          </w:p>
        </w:tc>
        <w:tc>
          <w:tcPr>
            <w:tcW w:type="dxa" w:w="5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Top-Use-Case, nächste Phase, Verantwortlichkeiten.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4. Bewertungsframework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Strategische Ziele: Welche Geschäftsprioritäten soll KI wirklich unterstützen?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Digitale Reife: Welche Systeme, Routinen und Kompetenzen sind belastbar vorhanden?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Datenlage: Wo liegen Silos, Medienbrüche und Qualitätslücken?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Prozesshebel: Welche Workflows sind wiederkehrend, aufwendig und wirtschaftlich relevant?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Umsetzungsbild: Welche Use Cases sind technisch, wirtschaftlich und organisatorisch prioritär?</w:t>
      </w: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5. Liefergegenstände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Deliverable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Beschreibung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Priorisierte KI-Roadmap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Reihenfolge der wichtigsten Use Cases nach Wirkung, Aufwand, Abhängigkeiten und Umsetzungsrisiken.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3 Use-Case-Briefs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Kurzprofile mit Zielprozess, Nutzenhypothese, Datenbedarf, Integrationsannahmen und Risiken.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Value-Heatmap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Visuelle Entscheidungshilfe für Management und Fachbereiche.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ROI-Annahmen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Konkrete Annahmen zu Zeitgewinn, Qualität, Einsparpotenzial und erwartbarer Wirkung.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Technische Voraussetzungen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Blick auf Daten, Systeme, Zugriffe, Integrationen, Sicherheit und organisatorische Vorbereitung.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Next-Step-Empfehlung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Empfehlung für Design-Sprint, Pilot-Scope oder vorbereitende Data/Integration Readiness.</w:t>
            </w:r>
          </w:p>
        </w:tc>
      </w:tr>
    </w:tbl>
    <w:p>
      <w:pPr>
        <w:spacing w:before="0" w:after="60" w:line="283" w:lineRule="auto"/>
      </w:pP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14617"/>
            <wp:docPr id="3" name="Picture 3" title="Explore Workshop roadmap image" descr="Workshop table with impact-effort matrix, roadmap, and data architecture sketch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perform-explore-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6. Rollen und Mitwirkung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Rolle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Empfohlene Beteiligung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Geschäftsführung / Bereichsleitung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Zielbild, Prioritäten, Entscheidungskriterien, Management-Gate.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Fachbereiche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Prozesswissen, Pain Points, Beispieldaten, Bewertung der Alltagstauglichkeit.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IT / Data / Datenschutz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Systemlandschaft, Datenzugänge, Sicherheitsrahmen, Integrationsannahmen.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334155"/>
                <w:sz w:val="18"/>
              </w:rPr>
              <w:t>VibePerform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18"/>
              </w:rPr>
              <w:t>Moderation, KI-/Prozessmethodik, Use-Case-Strukturierung, Roadmap und Ergebnisdokumentation.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7. Annahmen und Rahmen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Teilnehmerkreis: idealerweise 6-12 Personen aus Business, IT/Data und relevanten Fachbereichen.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Vorabmaterial: grobe Prozessskizzen, bekannte Engpässe, vorhandene KI-/Automationsideen und Systemübersicht.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Format: 1 Tag vor Ort in und um München oder 2 halbe Tage remote.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Sprache: Deutsch oder Englisch nach Bedarf.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Investition: Festpreis nach finaler Abstimmung von Format, Teilnehmerkreis und Vorbereitungsaufwand.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8FAFC"/>
          </w:tcPr>
          <w:p>
            <w:pPr>
              <w:spacing w:after="60"/>
            </w:pPr>
            <w:r>
              <w:rPr>
                <w:rFonts w:ascii="Arial" w:hAnsi="Arial"/>
                <w:b/>
                <w:color w:val="7E22CE"/>
                <w:sz w:val="19"/>
              </w:rPr>
              <w:t>Nicht enthalten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color w:val="334155"/>
                <w:sz w:val="20"/>
              </w:rPr>
              <w:t>Technische Implementierung, Datenintegration, produktive Automatisierung und Roll-out sind nicht Bestandteil dieses Angebots. Diese Schritte werden nach dem Explore Workshop als Design-Sprint oder Pilot separat geplant.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8. Nächste Schritte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30-minütiges Erstgespräch zur Zielklärung und Bestätigung des passenden Formats.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Abstimmung von Teilnehmerkreis, Workshop-Termin und benötigtem Vorabmaterial.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Finalisierung von Angebot, Zeitplan und organisatorischem Setup.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/>
          <w:color w:val="334155"/>
          <w:sz w:val="20"/>
        </w:rPr>
        <w:t>Durchführung des Explore Workshops und Übergabe der Ergebnisdokumentation.</w:t>
      </w:r>
    </w:p>
    <w:p>
      <w:pPr>
        <w:pStyle w:val="Heading1"/>
      </w:pPr>
      <w:r>
        <w:rPr>
          <w:rFonts w:ascii="Arial" w:hAnsi="Arial"/>
          <w:b/>
          <w:color w:val="0F172A"/>
          <w:sz w:val="34"/>
        </w:rPr>
        <w:t>Kontakt</w:t>
      </w:r>
    </w:p>
    <w:p>
      <w:pPr>
        <w:spacing w:before="0" w:after="40" w:line="283" w:lineRule="auto"/>
      </w:pPr>
      <w:r>
        <w:rPr>
          <w:rFonts w:ascii="Arial" w:hAnsi="Arial"/>
          <w:b/>
          <w:i w:val="0"/>
          <w:color w:val="0F172A"/>
          <w:sz w:val="22"/>
        </w:rPr>
        <w:t>VibePerform - KI-Beratung für den Mittelstand</w:t>
      </w:r>
    </w:p>
    <w:p>
      <w:pPr>
        <w:spacing w:before="0" w:after="240" w:line="283" w:lineRule="auto"/>
      </w:pPr>
      <w:r>
        <w:rPr>
          <w:rFonts w:ascii="Arial" w:hAnsi="Arial"/>
          <w:b/>
          <w:i w:val="0"/>
          <w:color w:val="7E22CE"/>
          <w:sz w:val="21"/>
        </w:rPr>
        <w:t>contact@vibeperform.com | www.vibeperform.com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fill="F6F0FF"/>
          </w:tcPr>
          <w:p>
            <w:pPr>
              <w:spacing w:after="60"/>
            </w:pPr>
            <w:r>
              <w:rPr>
                <w:rFonts w:ascii="Arial" w:hAnsi="Arial"/>
                <w:b/>
                <w:color w:val="7E22CE"/>
                <w:sz w:val="19"/>
              </w:rPr>
              <w:t>Ready, steady, deploy.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color w:val="334155"/>
                <w:sz w:val="20"/>
              </w:rPr>
              <w:t>Von der Idee zur Wirkung - in Wochen, nicht Monaten.</w:t>
            </w:r>
          </w:p>
        </w:tc>
      </w:tr>
    </w:tbl>
    <w:p>
      <w:pPr>
        <w:spacing w:before="0" w:after="80" w:line="283" w:lineRule="auto"/>
      </w:pPr>
    </w:p>
    <w:sectPr w:rsidR="00FC693F" w:rsidRPr="0006063C" w:rsidSect="00034616">
      <w:pgSz w:w="12240" w:h="15840"/>
      <w:pgMar w:top="1123" w:right="1238" w:bottom="1123" w:left="1238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VibePerform | Explore Workshop Angebot | contact@vibeperform.com | www.vibeperform.com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143000" cy="484360"/>
          <wp:docPr id="1" name="Picture 1" title="VibePerform logo" descr="VibePerform wordmark with purple sparkle symbo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beperfor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843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7E2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Arial" w:hAnsi="Arial"/>
      <w:color w:val="33415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Arial" w:hAnsi="Arial"/>
      <w:color w:val="33415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VibePerform Explore Workshop Angebot</dc:title>
  <dc:subject>Angebot fuer den strategischen Explore Workshop</dc:subject>
  <dc:creator>VibePerform</dc:creator>
  <cp:keywords/>
  <dc:description>Generated offer document for Explore Workshop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