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header2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Subtitle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Title"/>
        <w:jc w:val="both"/>
        <w:rPr>
          <w:rFonts w:ascii="Futura Bold" w:hAnsi="Futura Bold"/>
          <w:b w:val="0"/>
          <w:bCs w:val="0"/>
        </w:rPr>
      </w:pPr>
    </w:p>
    <w:p>
      <w:pPr>
        <w:pStyle w:val="Title"/>
        <w:jc w:val="both"/>
        <w:rPr>
          <w:rFonts w:ascii="Futura Bold" w:hAnsi="Futura Bold"/>
          <w:b w:val="0"/>
          <w:bCs w:val="0"/>
        </w:rPr>
      </w:pPr>
    </w:p>
    <w:p>
      <w:pPr>
        <w:pStyle w:val="Title"/>
        <w:jc w:val="both"/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</w:pPr>
      <w:r>
        <w:rPr>
          <w:rFonts w:ascii="Futura Bold" w:hAnsi="Futura Bold"/>
          <w:b w:val="0"/>
          <w:bCs w:val="0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DEHA Deprem</w:t>
      </w:r>
    </w:p>
    <w:p>
      <w:pPr>
        <w:pStyle w:val="Title"/>
        <w:jc w:val="both"/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</w:pPr>
      <w:r>
        <w:rPr>
          <w:rFonts w:ascii="Futura Bold" w:hAnsi="Futura Bold"/>
          <w:b w:val="0"/>
          <w:bCs w:val="0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Tahminleri Raporu</w:t>
      </w:r>
      <w:r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  <w:br w:type="textWrapping"/>
      </w:r>
    </w:p>
    <w:p>
      <w:pPr>
        <w:pStyle w:val="Subtitle"/>
        <w:sectPr>
          <w:headerReference w:type="default" r:id="rId4"/>
          <w:footerReference w:type="default" r:id="rId5"/>
          <w:pgSz w:w="11900" w:h="16840" w:orient="portrait"/>
          <w:pgMar w:top="1134" w:right="1134" w:bottom="1134" w:left="1134" w:header="709" w:footer="850"/>
          <w:bidi w:val="0"/>
        </w:sectPr>
      </w:pPr>
      <w:r>
        <w:rPr>
          <w:rFonts w:ascii="Futura" w:hAnsi="Futura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${REPORT_CITY} - ${REPORT_MONTH}</w:t>
      </w:r>
    </w:p>
    <w:p>
      <w:pPr>
        <w:pStyle w:val="Body A"/>
        <w:jc w:val="both"/>
        <w:rPr>
          <w:rFonts w:ascii="Futura" w:cs="Futura" w:hAnsi="Futura" w:eastAsia="Futura"/>
        </w:rPr>
      </w:pPr>
      <w:r>
        <w:rPr>
          <w:rFonts w:ascii="Futura" w:hAnsi="Futura"/>
          <w:u w:color="004d80"/>
          <w:rtl w:val="0"/>
        </w:rPr>
        <w:t>DEHA</w:t>
      </w:r>
      <w:r>
        <w:rPr>
          <w:rFonts w:ascii="Futura" w:hAnsi="Futura" w:hint="default"/>
          <w:u w:color="004d80"/>
          <w:rtl w:val="0"/>
        </w:rPr>
        <w:t>’</w:t>
      </w:r>
      <w:r>
        <w:rPr>
          <w:rFonts w:ascii="Futura" w:hAnsi="Futura"/>
          <w:u w:color="004d80"/>
          <w:rtl w:val="0"/>
        </w:rPr>
        <w:t>n</w:t>
      </w:r>
      <w:r>
        <w:rPr>
          <w:rFonts w:ascii="Futura" w:hAnsi="Futura" w:hint="default"/>
          <w:u w:color="004d80"/>
          <w:rtl w:val="0"/>
        </w:rPr>
        <w:t>ı</w:t>
      </w:r>
      <w:r>
        <w:rPr>
          <w:rFonts w:ascii="Futura" w:hAnsi="Futura"/>
          <w:u w:color="004d80"/>
          <w:rtl w:val="0"/>
        </w:rPr>
        <w:t>n yapm</w:t>
      </w:r>
      <w:r>
        <w:rPr>
          <w:rFonts w:ascii="Futura" w:hAnsi="Futura" w:hint="default"/>
          <w:u w:color="004d80"/>
          <w:rtl w:val="0"/>
        </w:rPr>
        <w:t xml:space="preserve">ış </w:t>
      </w:r>
      <w:r>
        <w:rPr>
          <w:rFonts w:ascii="Futura" w:hAnsi="Futura"/>
          <w:u w:color="004d80"/>
          <w:rtl w:val="0"/>
        </w:rPr>
        <w:t>oldu</w:t>
      </w:r>
      <w:r>
        <w:rPr>
          <w:rFonts w:ascii="Futura" w:hAnsi="Futura" w:hint="default"/>
          <w:u w:color="004d80"/>
          <w:rtl w:val="0"/>
        </w:rPr>
        <w:t>ğ</w:t>
      </w:r>
      <w:r>
        <w:rPr>
          <w:rFonts w:ascii="Futura" w:hAnsi="Futura"/>
          <w:u w:color="004d80"/>
          <w:rtl w:val="0"/>
        </w:rPr>
        <w:t>u ${REPORT_CITY} ili ${REPORT_MONTH} ay</w:t>
      </w:r>
      <w:r>
        <w:rPr>
          <w:rFonts w:ascii="Futura" w:hAnsi="Futura" w:hint="default"/>
          <w:u w:color="004d80"/>
          <w:rtl w:val="0"/>
        </w:rPr>
        <w:t xml:space="preserve">ı </w:t>
      </w:r>
      <w:r>
        <w:rPr>
          <w:rFonts w:ascii="Futura" w:hAnsi="Futura"/>
          <w:rtl w:val="0"/>
        </w:rPr>
        <w:t>deprem tahminlerine g</w:t>
      </w:r>
      <w:r>
        <w:rPr>
          <w:rFonts w:ascii="Futura" w:hAnsi="Futura" w:hint="default"/>
          <w:rtl w:val="0"/>
          <w:lang w:val="sv-SE"/>
        </w:rPr>
        <w:t>ö</w:t>
      </w:r>
      <w:r>
        <w:rPr>
          <w:rFonts w:ascii="Futura" w:hAnsi="Futura"/>
          <w:rtl w:val="0"/>
        </w:rPr>
        <w:t>re en 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ksek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</w:t>
      </w:r>
      <w:r>
        <w:rPr>
          <w:rFonts w:ascii="Futura" w:hAnsi="Futura"/>
          <w:rtl w:val="0"/>
        </w:rPr>
        <w:t>te</w:t>
      </w:r>
      <w:r>
        <w:rPr>
          <w:rFonts w:ascii="Futura" w:hAnsi="Futura"/>
          <w:rtl w:val="0"/>
        </w:rPr>
        <w:t xml:space="preserve"> deprem tahmini, en d</w:t>
      </w:r>
      <w:r>
        <w:rPr>
          <w:rFonts w:ascii="Futura" w:hAnsi="Futura" w:hint="default"/>
          <w:rtl w:val="0"/>
        </w:rPr>
        <w:t>üşü</w:t>
      </w:r>
      <w:r>
        <w:rPr>
          <w:rFonts w:ascii="Futura" w:hAnsi="Futura"/>
          <w:rtl w:val="0"/>
        </w:rPr>
        <w:t>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</w:t>
      </w:r>
      <w:r>
        <w:rPr>
          <w:rFonts w:ascii="Futura" w:hAnsi="Futura"/>
          <w:rtl w:val="0"/>
        </w:rPr>
        <w:t>te</w:t>
      </w:r>
      <w:r>
        <w:rPr>
          <w:rFonts w:ascii="Futura" w:hAnsi="Futura"/>
          <w:rtl w:val="0"/>
        </w:rPr>
        <w:t xml:space="preserve"> deprem tahmini, tahmin aral</w:t>
      </w:r>
      <w:r>
        <w:rPr>
          <w:rFonts w:ascii="Futura" w:hAnsi="Futura" w:hint="default"/>
          <w:rtl w:val="0"/>
        </w:rPr>
        <w:t>ığı</w:t>
      </w:r>
      <w:r>
        <w:rPr>
          <w:rFonts w:ascii="Futura" w:hAnsi="Futura"/>
          <w:rtl w:val="0"/>
        </w:rPr>
        <w:t>, deprem tahmini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 xml:space="preserve">üğü </w:t>
      </w:r>
      <w:r>
        <w:rPr>
          <w:rFonts w:ascii="Futura" w:hAnsi="Futura"/>
          <w:rtl w:val="0"/>
        </w:rPr>
        <w:t>ortalamas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, standart sapmas</w:t>
      </w:r>
      <w:r>
        <w:rPr>
          <w:rFonts w:ascii="Futura" w:hAnsi="Futura" w:hint="default"/>
          <w:rtl w:val="0"/>
        </w:rPr>
        <w:t xml:space="preserve">ı </w:t>
      </w:r>
      <w:r>
        <w:rPr>
          <w:rFonts w:ascii="Futura" w:hAnsi="Futura"/>
          <w:rtl w:val="0"/>
        </w:rPr>
        <w:t>ve varyans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veriler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</w:rPr>
        <w:t>daki gibidir.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En 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ksek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</w:t>
      </w:r>
      <w:r>
        <w:rPr>
          <w:rFonts w:ascii="Futura Bold" w:hAnsi="Futura Bold"/>
          <w:b w:val="0"/>
          <w:bCs w:val="0"/>
          <w:rtl w:val="0"/>
        </w:rPr>
        <w:t>te</w:t>
      </w:r>
      <w:r>
        <w:rPr>
          <w:rFonts w:ascii="Futura Bold" w:hAnsi="Futura Bold"/>
          <w:b w:val="0"/>
          <w:bCs w:val="0"/>
          <w:rtl w:val="0"/>
        </w:rPr>
        <w:t xml:space="preserve"> Deprem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571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189"/>
        <w:gridCol w:w="3191"/>
        <w:gridCol w:w="3191"/>
      </w:tblGrid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318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Tarih</w:t>
            </w:r>
          </w:p>
        </w:tc>
        <w:tc>
          <w:tcPr>
            <w:tcW w:type="dxa" w:w="31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</w:t>
            </w:r>
          </w:p>
        </w:tc>
        <w:tc>
          <w:tcPr>
            <w:tcW w:type="dxa" w:w="31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Derinlik</w:t>
            </w:r>
          </w:p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318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  <w:lang w:val="nl-NL"/>
        </w:rPr>
        <w:t>En D</w:t>
      </w:r>
      <w:r>
        <w:rPr>
          <w:rFonts w:ascii="Futura Bold" w:hAnsi="Futura Bold" w:hint="default"/>
          <w:b w:val="0"/>
          <w:bCs w:val="0"/>
          <w:rtl w:val="0"/>
        </w:rPr>
        <w:t>üşü</w:t>
      </w:r>
      <w:r>
        <w:rPr>
          <w:rFonts w:ascii="Futura Bold" w:hAnsi="Futura Bold"/>
          <w:b w:val="0"/>
          <w:bCs w:val="0"/>
          <w:rtl w:val="0"/>
        </w:rPr>
        <w:t>k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</w:t>
      </w:r>
      <w:r>
        <w:rPr>
          <w:rFonts w:ascii="Futura Bold" w:hAnsi="Futura Bold"/>
          <w:b w:val="0"/>
          <w:bCs w:val="0"/>
          <w:rtl w:val="0"/>
        </w:rPr>
        <w:t>te</w:t>
      </w:r>
      <w:r>
        <w:rPr>
          <w:rFonts w:ascii="Futura Bold" w:hAnsi="Futura Bold"/>
          <w:b w:val="0"/>
          <w:bCs w:val="0"/>
          <w:rtl w:val="0"/>
        </w:rPr>
        <w:t xml:space="preserve"> Deprem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574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190"/>
        <w:gridCol w:w="3192"/>
        <w:gridCol w:w="3192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Tarih</w:t>
            </w:r>
          </w:p>
        </w:tc>
        <w:tc>
          <w:tcPr>
            <w:tcW w:type="dxa" w:w="319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</w:t>
            </w:r>
          </w:p>
        </w:tc>
        <w:tc>
          <w:tcPr>
            <w:tcW w:type="dxa" w:w="319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Derinlik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jc w:val="both"/>
        <w:rPr>
          <w:rFonts w:ascii="Futura" w:cs="Futura" w:hAnsi="Futura" w:eastAsia="Futura"/>
        </w:rPr>
      </w:pPr>
      <w:r>
        <w:rPr>
          <w:rFonts w:ascii="Futura" w:hAnsi="Futura"/>
          <w:rtl w:val="0"/>
        </w:rPr>
        <w:t>Ayl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k tahminler i</w:t>
      </w:r>
      <w:r>
        <w:rPr>
          <w:rFonts w:ascii="Futura" w:hAnsi="Futura" w:hint="default"/>
          <w:rtl w:val="0"/>
        </w:rPr>
        <w:t>ç</w:t>
      </w:r>
      <w:r>
        <w:rPr>
          <w:rFonts w:ascii="Futura" w:hAnsi="Futura"/>
          <w:rtl w:val="0"/>
        </w:rPr>
        <w:t>erisinden en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ve en k</w:t>
      </w:r>
      <w:r>
        <w:rPr>
          <w:rFonts w:ascii="Futura" w:hAnsi="Futura" w:hint="default"/>
          <w:rtl w:val="0"/>
        </w:rPr>
        <w:t>üçü</w:t>
      </w:r>
      <w:r>
        <w:rPr>
          <w:rFonts w:ascii="Futura" w:hAnsi="Futura"/>
          <w:rtl w:val="0"/>
        </w:rPr>
        <w:t>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üğ</w:t>
      </w:r>
      <w:r>
        <w:rPr>
          <w:rFonts w:ascii="Futura" w:hAnsi="Futura"/>
          <w:rtl w:val="0"/>
        </w:rPr>
        <w:t>e sahip depremlerin aral</w:t>
      </w:r>
      <w:r>
        <w:rPr>
          <w:rFonts w:ascii="Futura" w:hAnsi="Futura" w:hint="default"/>
          <w:rtl w:val="0"/>
        </w:rPr>
        <w:t xml:space="preserve">ığı </w:t>
      </w:r>
      <w:r>
        <w:rPr>
          <w:rFonts w:ascii="Futura" w:hAnsi="Futura"/>
          <w:rtl w:val="0"/>
        </w:rPr>
        <w:t>${MG_RANGE} Mw kadard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</w:t>
      </w:r>
      <w:r>
        <w:rPr>
          <w:rFonts w:ascii="Futura Bold" w:hAnsi="Futura Bold"/>
          <w:b w:val="0"/>
          <w:bCs w:val="0"/>
          <w:rtl w:val="0"/>
        </w:rPr>
        <w:t xml:space="preserve">leri </w:t>
      </w:r>
      <w:r>
        <w:rPr>
          <w:rFonts w:ascii="Futura Bold" w:hAnsi="Futura Bold" w:hint="default"/>
          <w:b w:val="0"/>
          <w:bCs w:val="0"/>
          <w:rtl w:val="0"/>
        </w:rPr>
        <w:t>İ</w:t>
      </w:r>
      <w:r>
        <w:rPr>
          <w:rFonts w:ascii="Futura Bold" w:hAnsi="Futura Bold"/>
          <w:b w:val="0"/>
          <w:bCs w:val="0"/>
          <w:rtl w:val="0"/>
        </w:rPr>
        <w:t>statistik Hesaplar</w:t>
      </w:r>
      <w:r>
        <w:rPr>
          <w:rFonts w:ascii="Futura Bold" w:hAnsi="Futura Bold" w:hint="default"/>
          <w:b w:val="0"/>
          <w:bCs w:val="0"/>
          <w:rtl w:val="0"/>
        </w:rPr>
        <w:t>ı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tbl>
      <w:tblPr>
        <w:tblW w:w="95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903"/>
        <w:gridCol w:w="1904"/>
        <w:gridCol w:w="1904"/>
        <w:gridCol w:w="1904"/>
        <w:gridCol w:w="1904"/>
      </w:tblGrid>
      <w:tr>
        <w:tblPrEx>
          <w:shd w:val="clear" w:color="auto" w:fill="cadfff"/>
        </w:tblPrEx>
        <w:trPr>
          <w:trHeight w:val="519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ü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kler Toplam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ı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Deprem Say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ı</w:t>
            </w: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</w:t>
            </w:r>
            <w:r>
              <w:rPr>
                <w:rFonts w:ascii="Futura" w:cs="Arial Unicode MS" w:hAnsi="Futura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ı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Aritmetik Ortalama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Standart Sapma</w:t>
            </w:r>
          </w:p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Futura" w:cs="Arial Unicode MS" w:hAnsi="Futur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Varyans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widowControl w:val="0"/>
        <w:ind w:left="108" w:hanging="108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 xml:space="preserve">Deprem Tahminlerine </w:t>
      </w:r>
      <w:r>
        <w:rPr>
          <w:rFonts w:ascii="Futura Bold" w:hAnsi="Futura Bold" w:hint="default"/>
          <w:b w:val="0"/>
          <w:bCs w:val="0"/>
          <w:rtl w:val="0"/>
        </w:rPr>
        <w:t>İ</w:t>
      </w:r>
      <w:r>
        <w:rPr>
          <w:rFonts w:ascii="Futura Bold" w:hAnsi="Futura Bold"/>
          <w:b w:val="0"/>
          <w:bCs w:val="0"/>
          <w:rtl w:val="0"/>
        </w:rPr>
        <w:t>li</w:t>
      </w:r>
      <w:r>
        <w:rPr>
          <w:rFonts w:ascii="Futura Bold" w:hAnsi="Futura Bold" w:hint="default"/>
          <w:b w:val="0"/>
          <w:bCs w:val="0"/>
          <w:rtl w:val="0"/>
        </w:rPr>
        <w:t>ş</w:t>
      </w:r>
      <w:r>
        <w:rPr>
          <w:rFonts w:ascii="Futura Bold" w:hAnsi="Futura Bold"/>
          <w:b w:val="0"/>
          <w:bCs w:val="0"/>
          <w:rtl w:val="0"/>
        </w:rPr>
        <w:t>kin Grafiksel G</w:t>
      </w:r>
      <w:r>
        <w:rPr>
          <w:rFonts w:ascii="Futura Bold" w:hAnsi="Futura Bold" w:hint="default"/>
          <w:b w:val="0"/>
          <w:bCs w:val="0"/>
          <w:rtl w:val="0"/>
          <w:lang w:val="sv-SE"/>
        </w:rPr>
        <w:t>ö</w:t>
      </w:r>
      <w:r>
        <w:rPr>
          <w:rFonts w:ascii="Futura Bold" w:hAnsi="Futura Bold"/>
          <w:b w:val="0"/>
          <w:bCs w:val="0"/>
          <w:rtl w:val="0"/>
        </w:rPr>
        <w:t>sterimler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</w:pPr>
      <w:r>
        <w:rPr>
          <w:rFonts w:ascii="Futura" w:hAnsi="Futura"/>
          <w:rtl w:val="0"/>
        </w:rPr>
        <w:t>Deprem tahminlerine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artan g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n 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ras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yla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k,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ve derinlik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kisi ve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gruplar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g</w:t>
      </w:r>
      <w:r>
        <w:rPr>
          <w:rFonts w:ascii="Futura" w:hAnsi="Futura" w:hint="default"/>
          <w:rtl w:val="0"/>
          <w:lang w:val="sv-SE"/>
        </w:rPr>
        <w:t>ö</w:t>
      </w:r>
      <w:r>
        <w:rPr>
          <w:rFonts w:ascii="Futura" w:hAnsi="Futura"/>
          <w:rtl w:val="0"/>
        </w:rPr>
        <w:t>re deprem say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lar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grafikler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  <w:lang w:val="es-ES_tradnl"/>
        </w:rPr>
        <w:t>dad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  <w:r>
        <w:rPr>
          <w:rFonts w:ascii="Futura" w:cs="Futura" w:hAnsi="Futura" w:eastAsia="Futura"/>
        </w:rPr>
        <w:drawing xmlns:a="http://schemas.openxmlformats.org/drawingml/2006/main">
          <wp:anchor distT="0" distB="0" distL="152400" distR="152400" simplePos="0" relativeHeight="251661312" behindDoc="0" locked="0" layoutInCell="1" allowOverlap="1">
            <wp:simplePos x="0" y="0"/>
            <wp:positionH relativeFrom="margin">
              <wp:posOffset>1210474</wp:posOffset>
            </wp:positionH>
            <wp:positionV relativeFrom="line">
              <wp:posOffset>1833727</wp:posOffset>
            </wp:positionV>
            <wp:extent cx="5065256" cy="3810000"/>
            <wp:effectExtent l="0" t="0" r="0" b="0"/>
            <wp:wrapTopAndBottom distT="0" distB="0"/>
            <wp:docPr id="1073741825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margin">
              <wp:posOffset>877122</wp:posOffset>
            </wp:positionH>
            <wp:positionV relativeFrom="line">
              <wp:posOffset>3051351</wp:posOffset>
            </wp:positionV>
            <wp:extent cx="4992897" cy="3783055"/>
            <wp:effectExtent l="0" t="0" r="0" b="0"/>
            <wp:wrapTopAndBottom distT="0" distB="0"/>
            <wp:docPr id="1073741826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drawing xmlns:a="http://schemas.openxmlformats.org/drawingml/2006/main">
          <wp:anchor distT="0" distB="0" distL="152400" distR="152400" simplePos="0" relativeHeight="251659264" behindDoc="0" locked="0" layoutInCell="1" allowOverlap="1">
            <wp:simplePos x="0" y="0"/>
            <wp:positionH relativeFrom="margin">
              <wp:posOffset>1420469</wp:posOffset>
            </wp:positionH>
            <wp:positionV relativeFrom="line">
              <wp:posOffset>3073908</wp:posOffset>
            </wp:positionV>
            <wp:extent cx="4952999" cy="3750154"/>
            <wp:effectExtent l="0" t="0" r="0" b="0"/>
            <wp:wrapTopAndBottom distT="0" distB="0"/>
            <wp:docPr id="1073741827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Tahminleri Tablosu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  <w:r>
        <w:rPr>
          <w:rFonts w:ascii="Futura" w:hAnsi="Futura"/>
          <w:rtl w:val="0"/>
        </w:rPr>
        <w:t>Rapora ait deprem tahminlerinin ham verilerden olu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an tablosu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  <w:lang w:val="es-ES_tradnl"/>
        </w:rPr>
        <w:t>dad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514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377"/>
        <w:gridCol w:w="2380"/>
        <w:gridCol w:w="2377"/>
        <w:gridCol w:w="2380"/>
      </w:tblGrid>
      <w:tr>
        <w:tblPrEx>
          <w:shd w:val="clear" w:color="auto" w:fill="00a2ff"/>
        </w:tblPrEx>
        <w:trPr>
          <w:trHeight w:val="305" w:hRule="atLeast"/>
          <w:tblHeader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Tarih</w:t>
            </w:r>
          </w:p>
        </w:tc>
        <w:tc>
          <w:tcPr>
            <w:tcW w:type="dxa" w:w="2379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B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y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kl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</w:t>
            </w:r>
          </w:p>
        </w:tc>
        <w:tc>
          <w:tcPr>
            <w:tcW w:type="dxa" w:w="2377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Derinlik</w:t>
            </w:r>
          </w:p>
        </w:tc>
        <w:tc>
          <w:tcPr>
            <w:tcW w:type="dxa" w:w="2379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Ş</w:t>
            </w:r>
            <w:r>
              <w:rPr>
                <w:shd w:val="nil" w:color="auto" w:fill="auto"/>
                <w:rtl w:val="0"/>
              </w:rPr>
              <w:t>ehir</w:t>
            </w:r>
          </w:p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</w:pPr>
      <w:r>
        <w:rPr>
          <w:rFonts w:ascii="Futura" w:cs="Futura" w:hAnsi="Futura" w:eastAsia="Futura"/>
        </w:rPr>
      </w:r>
    </w:p>
    <w:sectPr>
      <w:headerReference w:type="default" r:id="rId9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Futura">
    <w:charset w:val="00"/>
    <w:family w:val="roman"/>
    <w:pitch w:val="default"/>
  </w:font>
  <w:font w:name="Futur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20"/>
      <w:szCs w:val="20"/>
      <w:u w:val="none" w:color="ffffff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FFFF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hart" Target="charts/chart1.xml"/><Relationship Id="rId7" Type="http://schemas.openxmlformats.org/officeDocument/2006/relationships/chart" Target="charts/chart2.xml"/><Relationship Id="rId8" Type="http://schemas.openxmlformats.org/officeDocument/2006/relationships/chart" Target="charts/chart3.xml"/><Relationship Id="rId9" Type="http://schemas.openxmlformats.org/officeDocument/2006/relationships/header" Target="header2.xml"/><Relationship Id="rId10" Type="http://schemas.openxmlformats.org/officeDocument/2006/relationships/theme" Target="theme/theme1.xml"/></Relationships>

</file>

<file path=word/charts/_rels/chart1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1.xlsx"/></Relationships>

</file>

<file path=word/charts/_rels/chart2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2.xlsx"/></Relationships>

</file>

<file path=word/charts/_rels/chart3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3.xlsx"/></Relationships>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136679"/>
          <c:y val="0.21496"/>
          <c:w val="0.836974"/>
          <c:h val="0.662604"/>
        </c:manualLayout>
      </c:layout>
      <c:lineChart>
        <c:grouping val="standard"/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Büyüklük</c:v>
                </c:pt>
              </c:strCache>
            </c:strRef>
          </c:tx>
          <c:spPr>
            <a:solidFill>
              <a:schemeClr val="accent1"/>
            </a:solidFill>
            <a:ln w="47625" cap="flat">
              <a:solidFill>
                <a:srgbClr val="009EF9"/>
              </a:solidFill>
              <a:prstDash val="solid"/>
              <a:round/>
            </a:ln>
            <a:effectLst/>
          </c:spPr>
          <c:marker>
            <c:symbol val="circle"/>
            <c:size val="9"/>
            <c:spPr>
              <a:solidFill>
                <a:schemeClr val="accent1"/>
              </a:solidFill>
              <a:ln w="9525" cap="flat">
                <a:solidFill>
                  <a:srgbClr val="009EF9"/>
                </a:solidFill>
                <a:prstDash val="solid"/>
                <a:round/>
              </a:ln>
              <a:effectLst/>
            </c:spPr>
          </c:marker>
          <c:dLbls>
            <c:numFmt formatCode="#,##0" sourceLinked="0"/>
            <c:txPr>
              <a:bodyPr/>
              <a:lstStyle/>
              <a:p>
                <a:pPr>
                  <a:defRPr b="0" i="0" strike="noStrike" sz="1800" u="none">
                    <a:solidFill>
                      <a:srgbClr val="000000"/>
                    </a:solidFill>
                    <a:latin typeface="Helvetica Neue"/>
                  </a:defRPr>
                </a:pPr>
              </a:p>
            </c:txPr>
            <c:dLblPos val="t"/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Sheet1!$B$1:$L$1</c:f>
              <c:strCache>
                <c:ptCount val="11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  <c:pt idx="7">
                  <c:v>21</c:v>
                </c:pt>
                <c:pt idx="8">
                  <c:v>24</c:v>
                </c:pt>
                <c:pt idx="9">
                  <c:v>27</c:v>
                </c:pt>
                <c:pt idx="10">
                  <c:v>30</c:v>
                </c:pt>
              </c:strCache>
            </c:strRef>
          </c:cat>
          <c:val>
            <c:numRef>
              <c:f>Sheet1!$B$2:$L$2</c:f>
              <c:numCache>
                <c:ptCount val="11"/>
                <c:pt idx="0">
                  <c:v>2.000000</c:v>
                </c:pt>
                <c:pt idx="1">
                  <c:v>4.100000</c:v>
                </c:pt>
                <c:pt idx="2">
                  <c:v>3.300000</c:v>
                </c:pt>
                <c:pt idx="3">
                  <c:v>3.100000</c:v>
                </c:pt>
                <c:pt idx="4">
                  <c:v>3.500000</c:v>
                </c:pt>
                <c:pt idx="5">
                  <c:v>3.600000</c:v>
                </c:pt>
                <c:pt idx="6">
                  <c:v>4.500000</c:v>
                </c:pt>
                <c:pt idx="7">
                  <c:v>3.200000</c:v>
                </c:pt>
                <c:pt idx="8">
                  <c:v>3.400000</c:v>
                </c:pt>
                <c:pt idx="9">
                  <c:v>2.900000</c:v>
                </c:pt>
                <c:pt idx="10">
                  <c:v>2.800000</c:v>
                </c:pt>
              </c:numCache>
            </c:numRef>
          </c:val>
          <c:smooth val="0"/>
        </c:ser>
        <c:marker val="1"/>
        <c:axId val="2094734552"/>
        <c:axId val="2094734553"/>
      </c:line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low"/>
        <c:spPr>
          <a:ln w="12700" cap="flat">
            <a:solidFill>
              <a:srgbClr val="888888"/>
            </a:solidFill>
            <a:prstDash val="solid"/>
            <a:round/>
          </a:ln>
        </c:spPr>
        <c:txPr>
          <a:bodyPr rot="0"/>
          <a:lstStyle/>
          <a:p>
            <a:pPr>
              <a:defRPr b="0" i="0" strike="noStrike" sz="1800" u="none">
                <a:solidFill>
                  <a:srgbClr val="000000"/>
                </a:solidFill>
                <a:latin typeface="Helvetica Neue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12700" cap="flat">
              <a:solidFill>
                <a:srgbClr val="888888"/>
              </a:solidFill>
              <a:prstDash val="solid"/>
              <a:round/>
            </a:ln>
          </c:spPr>
        </c:majorGridlines>
        <c:numFmt formatCode="General" sourceLinked="0"/>
        <c:majorTickMark val="out"/>
        <c:minorTickMark val="none"/>
        <c:tickLblPos val="nextTo"/>
        <c:spPr>
          <a:ln w="12700" cap="flat">
            <a:solidFill>
              <a:srgbClr val="888888"/>
            </a:solidFill>
            <a:prstDash val="solid"/>
            <a:round/>
          </a:ln>
        </c:spPr>
        <c:txPr>
          <a:bodyPr rot="0"/>
          <a:lstStyle/>
          <a:p>
            <a:pPr>
              <a:defRPr b="0" i="0" strike="noStrike" sz="1800" u="none">
                <a:solidFill>
                  <a:srgbClr val="000000"/>
                </a:solidFill>
                <a:latin typeface="Helvetica Neue"/>
              </a:defRPr>
            </a:pPr>
          </a:p>
        </c:txPr>
        <c:crossAx val="2094734552"/>
        <c:crosses val="autoZero"/>
        <c:crossBetween val="midCat"/>
        <c:majorUnit val="1.25"/>
        <c:minorUnit val="0.625"/>
      </c:valAx>
      <c:spPr>
        <a:solidFill>
          <a:srgbClr val="FFFFFF"/>
        </a:solidFill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62692"/>
          <c:y val="0"/>
          <c:w val="0.90262"/>
          <c:h val="0.0966533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800" u="none">
              <a:solidFill>
                <a:srgbClr val="000000"/>
              </a:solidFill>
              <a:latin typeface="Helvetica Neue"/>
            </a:defRPr>
          </a:pPr>
        </a:p>
      </c:txPr>
    </c:legend>
    <c:plotVisOnly val="1"/>
    <c:dispBlanksAs val="gap"/>
  </c:chart>
  <c:spPr>
    <a:solidFill>
      <a:srgbClr val="FFFFFF"/>
    </a:solidFill>
    <a:ln w="12700" cap="flat">
      <a:solidFill>
        <a:srgbClr val="888888"/>
      </a:solidFill>
      <a:prstDash val="solid"/>
      <a:round/>
    </a:ln>
    <a:effectLst/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0631718"/>
          <c:y val="0.124561"/>
          <c:w val="0.920814"/>
          <c:h val="0.803539"/>
        </c:manualLayout>
      </c:layout>
      <c:areaChart>
        <c:grouping val="standard"/>
        <c:varyColors val="0"/>
        <c:ser>
          <c:idx val="1"/>
          <c:order val="0"/>
          <c:tx>
            <c:strRef>
              <c:f>Sheet1!$A$3</c:f>
              <c:strCache>
                <c:ptCount val="1"/>
                <c:pt idx="0">
                  <c:v>Derinlik</c:v>
                </c:pt>
              </c:strCache>
            </c:strRef>
          </c:tx>
          <c:spPr>
            <a:solidFill>
              <a:schemeClr val="accent1"/>
            </a:solidFill>
            <a:ln w="12700" cap="flat">
              <a:noFill/>
              <a:miter lim="400000"/>
            </a:ln>
            <a:effectLst/>
          </c:spP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FFFFFF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Sheet1!$B$1:$H$1</c:f>
              <c:strCache>
                <c:ptCount val="7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</c:strCache>
            </c:strRef>
          </c:cat>
          <c:val>
            <c:numRef>
              <c:f>Sheet1!$B$3:$H$3</c:f>
              <c:numCache>
                <c:ptCount val="7"/>
                <c:pt idx="0">
                  <c:v>0.000000</c:v>
                </c:pt>
                <c:pt idx="1">
                  <c:v>4.000000</c:v>
                </c:pt>
                <c:pt idx="2">
                  <c:v>7.000000</c:v>
                </c:pt>
                <c:pt idx="3">
                  <c:v>16.000000</c:v>
                </c:pt>
                <c:pt idx="4">
                  <c:v>11.000000</c:v>
                </c:pt>
                <c:pt idx="5">
                  <c:v>2.000000</c:v>
                </c:pt>
                <c:pt idx="6">
                  <c:v>32.000000</c:v>
                </c:pt>
              </c:numCache>
            </c:numRef>
          </c:val>
        </c:ser>
        <c:ser>
          <c:idx val="0"/>
          <c:order val="1"/>
          <c:tx>
            <c:strRef>
              <c:f>Sheet1!$A$2</c:f>
              <c:strCache>
                <c:ptCount val="1"/>
                <c:pt idx="0">
                  <c:v>Büyüklük</c:v>
                </c:pt>
              </c:strCache>
            </c:strRef>
          </c:tx>
          <c:spPr>
            <a:solidFill>
              <a:srgbClr val="56C1FF"/>
            </a:solidFill>
            <a:ln w="12700" cap="flat">
              <a:noFill/>
              <a:miter lim="400000"/>
            </a:ln>
            <a:effectLst/>
          </c:spP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FFFFFF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Sheet1!$B$1:$H$1</c:f>
              <c:strCache>
                <c:ptCount val="7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</c:strCache>
            </c:strRef>
          </c:cat>
          <c:val>
            <c:numRef>
              <c:f>Sheet1!$B$2:$H$2</c:f>
              <c:numCache>
                <c:ptCount val="6"/>
                <c:pt idx="0">
                  <c:v>0.000000</c:v>
                </c:pt>
                <c:pt idx="1">
                  <c:v>3.300000</c:v>
                </c:pt>
                <c:pt idx="2">
                  <c:v>3.500000</c:v>
                </c:pt>
                <c:pt idx="3">
                  <c:v>2.100000</c:v>
                </c:pt>
                <c:pt idx="4">
                  <c:v>4.300000</c:v>
                </c:pt>
                <c:pt idx="5">
                  <c:v>3.000000</c:v>
                </c:pt>
              </c:numCache>
            </c:numRef>
          </c:val>
        </c:ser>
        <c:axId val="2094734552"/>
        <c:axId val="2094734553"/>
      </c:area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12700" cap="flat">
            <a:solidFill>
              <a:srgbClr val="000000"/>
            </a:solidFill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12700" cap="flat">
              <a:solidFill>
                <a:srgbClr val="B8B8B8"/>
              </a:solidFill>
              <a:prstDash val="solid"/>
              <a:miter lim="400000"/>
            </a:ln>
          </c:spPr>
        </c:majorGridlines>
        <c:numFmt formatCode="0.#" sourceLinked="0"/>
        <c:majorTickMark val="none"/>
        <c:minorTickMark val="none"/>
        <c:tickLblPos val="nextTo"/>
        <c:spPr>
          <a:ln w="12700" cap="flat">
            <a:noFill/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2"/>
        <c:crosses val="autoZero"/>
        <c:crossBetween val="midCat"/>
        <c:majorUnit val="10"/>
        <c:minorUnit val="5"/>
      </c:valAx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288205"/>
          <c:y val="0"/>
          <c:w val="0.941137"/>
          <c:h val="0.0676421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Futura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169354"/>
          <c:y val="0.126602"/>
          <c:w val="0.661292"/>
          <c:h val="0.860898"/>
        </c:manualLayout>
      </c:layout>
      <c:doughnutChart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Deprem Büyüklükleri</c:v>
                </c:pt>
              </c:strCache>
            </c:strRef>
          </c:tx>
          <c:spPr>
            <a:solidFill>
              <a:srgbClr val="56C1FF"/>
            </a:solidFill>
            <a:ln w="12700" cap="flat">
              <a:noFill/>
              <a:miter lim="400000"/>
            </a:ln>
            <a:effectLst/>
          </c:spPr>
          <c:explosion val="0"/>
          <c:dPt>
            <c:idx val="0"/>
            <c:explosion val="0"/>
            <c:spPr>
              <a:solidFill>
                <a:srgbClr val="56C1FF"/>
              </a:solidFill>
              <a:ln w="12700" cap="flat">
                <a:noFill/>
                <a:miter lim="400000"/>
              </a:ln>
              <a:effectLst/>
            </c:spPr>
          </c:dPt>
          <c:dPt>
            <c:idx val="1"/>
            <c:explosion val="0"/>
            <c:spPr>
              <a:solidFill>
                <a:schemeClr val="accent1"/>
              </a:solidFill>
              <a:ln w="12700" cap="flat">
                <a:noFill/>
                <a:miter lim="400000"/>
              </a:ln>
              <a:effectLst/>
            </c:spPr>
          </c:dPt>
          <c:dPt>
            <c:idx val="2"/>
            <c:explosion val="0"/>
            <c:spPr>
              <a:solidFill>
                <a:srgbClr val="0076BA"/>
              </a:solidFill>
              <a:ln w="12700" cap="flat">
                <a:noFill/>
                <a:miter lim="400000"/>
              </a:ln>
              <a:effectLst/>
            </c:spPr>
          </c:dPt>
          <c:dPt>
            <c:idx val="3"/>
            <c:explosion val="0"/>
            <c:spPr>
              <a:solidFill>
                <a:srgbClr val="004D80"/>
              </a:solidFill>
              <a:ln w="12700" cap="flat">
                <a:noFill/>
                <a:miter lim="400000"/>
              </a:ln>
              <a:effectLst/>
            </c:spPr>
          </c:dPt>
          <c:dPt>
            <c:idx val="4"/>
            <c:explosion val="0"/>
            <c:spPr>
              <a:solidFill>
                <a:srgbClr val="003462"/>
              </a:solidFill>
              <a:ln w="12700" cap="flat">
                <a:noFill/>
                <a:miter lim="400000"/>
              </a:ln>
              <a:effectLst/>
            </c:spPr>
          </c:dPt>
          <c:dPt>
            <c:idx val="5"/>
            <c:explosion val="0"/>
            <c:spPr>
              <a:solidFill>
                <a:srgbClr val="001837"/>
              </a:solidFill>
              <a:ln w="12700" cap="flat">
                <a:noFill/>
                <a:miter lim="400000"/>
              </a:ln>
              <a:effectLst/>
            </c:spPr>
          </c:dPt>
          <c:dLbls>
            <c:dLbl>
              <c:idx val="0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1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2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3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4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5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Futura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numFmt formatCode="#,##0%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noFill/>
                <a:ln w="6350" cap="flat">
                  <a:solidFill>
                    <a:srgbClr val="000000"/>
                  </a:solidFill>
                  <a:prstDash val="solid"/>
                  <a:miter lim="400000"/>
                </a:ln>
                <a:effectLst/>
              </c:spPr>
            </c:leaderLines>
          </c:dLbls>
          <c:cat>
            <c:strRef>
              <c:f>Sheet1!$B$1:$G$1</c:f>
              <c:strCache>
                <c:ptCount val="6"/>
                <c:pt idx="0">
                  <c:v>&lt;3.0</c:v>
                </c:pt>
                <c:pt idx="1">
                  <c:v>3.0-3.5</c:v>
                </c:pt>
                <c:pt idx="2">
                  <c:v>3.5-4.0</c:v>
                </c:pt>
                <c:pt idx="3">
                  <c:v>4.0-5.0</c:v>
                </c:pt>
                <c:pt idx="4">
                  <c:v>5.0-6.0</c:v>
                </c:pt>
                <c:pt idx="5">
                  <c:v>6.0&gt;</c:v>
                </c:pt>
              </c:strCache>
            </c:strRef>
          </c:cat>
          <c:val>
            <c:numRef>
              <c:f>Sheet1!$B$2:$G$2</c:f>
              <c:numCache>
                <c:ptCount val="6"/>
                <c:pt idx="0">
                  <c:v>91.000000</c:v>
                </c:pt>
                <c:pt idx="1">
                  <c:v>76.000000</c:v>
                </c:pt>
                <c:pt idx="2">
                  <c:v>28.000000</c:v>
                </c:pt>
                <c:pt idx="3">
                  <c:v>26.000000</c:v>
                </c:pt>
                <c:pt idx="4">
                  <c:v>21.000000</c:v>
                </c:pt>
                <c:pt idx="5">
                  <c:v>18.000000</c:v>
                </c:pt>
              </c:numCache>
            </c:numRef>
          </c:val>
        </c:ser>
        <c:firstSliceAng val="0"/>
        <c:holeSize val="75"/>
      </c:doughnutChart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"/>
          <c:y val="0"/>
          <c:w val="1"/>
          <c:h val="0.0680162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Futura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