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left"/>
      </w:pPr>
      <w:r>
        <w:rPr>
          <w:rFonts w:ascii="Aptos" w:cs="Aptos" w:eastAsia="Aptos" w:hAnsi="Aptos"/>
          <w:b/>
          <w:bCs/>
          <w:i w:val="false"/>
          <w:iCs w:val="false"/>
          <w:color w:val="1F3864"/>
          <w:sz w:val="32"/>
          <w:szCs w:val="32"/>
        </w:rPr>
        <w:t xml:space="preserve">MediSync Technologies Pvt. Ltd.</w:t>
      </w:r>
    </w:p>
    <w:p>
      <w:pPr>
        <w:spacing w:after="20"/>
        <w:jc w:val="left"/>
      </w:pPr>
      <w:r>
        <w:rPr>
          <w:rFonts w:ascii="Aptos" w:cs="Aptos" w:eastAsia="Aptos" w:hAnsi="Aptos"/>
          <w:b w:val="false"/>
          <w:bCs w:val="false"/>
          <w:i w:val="false"/>
          <w:iCs w:val="false"/>
          <w:color w:val="595959"/>
          <w:sz w:val="22"/>
          <w:szCs w:val="22"/>
        </w:rPr>
        <w:t xml:space="preserve">Prestige Tech Park, Tower B, 12th Floor · Bengaluru 560103</w:t>
      </w:r>
    </w:p>
    <w:p>
      <w:pPr>
        <w:pBdr>
          <w:bottom w:val="thick" w:color="1F3864" w:sz="12"/>
        </w:pBdr>
        <w:spacing w:after="0" w:before="0"/>
      </w:pPr>
      <w:r>
        <w:rPr>
          <w:rFonts w:ascii="Aptos" w:cs="Aptos" w:eastAsia="Aptos" w:hAnsi="Aptos"/>
          <w:b w:val="false"/>
          <w:bCs w:val="false"/>
          <w:i w:val="false"/>
          <w:iCs w:val="false"/>
          <w:color w:val="000000"/>
          <w:sz w:val="12"/>
          <w:szCs w:val="12"/>
        </w:rPr>
        <w:t xml:space="preserve"> </w:t>
      </w:r>
    </w:p>
    <w:p>
      <w:pPr>
        <w:spacing w:after="120" w:before="0"/>
        <w:jc w:val="left"/>
      </w:pPr>
      <w:r>
        <w:rPr>
          <w:rFonts w:ascii="Aptos" w:cs="Aptos" w:eastAsia="Aptos" w:hAnsi="Aptos"/>
          <w:b w:val="false"/>
          <w:bCs w:val="false"/>
          <w:i w:val="false"/>
          <w:iCs w:val="false"/>
          <w:color w:val="000000"/>
          <w:sz w:val="24"/>
          <w:szCs w:val="24"/>
        </w:rPr>
        <w:t xml:space="preserve"/>
      </w:r>
    </w:p>
    <w:p>
      <w:pPr>
        <w:spacing w:after="60"/>
        <w:jc w:val="left"/>
      </w:pPr>
      <w:r>
        <w:rPr>
          <w:rFonts w:ascii="Aptos" w:cs="Aptos" w:eastAsia="Aptos" w:hAnsi="Aptos"/>
          <w:b/>
          <w:bCs/>
          <w:i w:val="false"/>
          <w:iCs w:val="false"/>
          <w:color w:val="1F3864"/>
          <w:sz w:val="48"/>
          <w:szCs w:val="48"/>
        </w:rPr>
        <w:t xml:space="preserve">PROJECT HEALTHSEC</w:t>
      </w:r>
    </w:p>
    <w:p>
      <w:pPr>
        <w:spacing w:after="60"/>
        <w:jc w:val="left"/>
      </w:pPr>
      <w:r>
        <w:rPr>
          <w:rFonts w:ascii="Aptos" w:cs="Aptos" w:eastAsia="Aptos" w:hAnsi="Aptos"/>
          <w:b w:val="false"/>
          <w:bCs w:val="false"/>
          <w:i w:val="false"/>
          <w:iCs w:val="false"/>
          <w:color w:val="595959"/>
          <w:sz w:val="32"/>
          <w:szCs w:val="32"/>
        </w:rPr>
        <w:t xml:space="preserve">ISO/IEC 27001:2022 Implementation Programme</w:t>
      </w:r>
    </w:p>
    <w:p>
      <w:pPr>
        <w:spacing w:after="200"/>
        <w:jc w:val="left"/>
      </w:pPr>
      <w:r>
        <w:rPr>
          <w:rFonts w:ascii="Aptos" w:cs="Aptos" w:eastAsia="Aptos" w:hAnsi="Aptos"/>
          <w:b w:val="false"/>
          <w:bCs w:val="false"/>
          <w:i/>
          <w:iCs/>
          <w:color w:val="595959"/>
          <w:sz w:val="26"/>
          <w:szCs w:val="26"/>
        </w:rPr>
        <w:t xml:space="preserve">Executive Summary · February 2026 – April 2027</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Programme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Project HealthSec — ISO/IEC 27001:2022 ISMS Implementation</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Period</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February 2026 – April 2027  (14 months)</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reference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ISMS-CRT-005  |  Executive Summary Report  |  v1.0  |  April 2027</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Prepared by</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ISMS Manager  |  Reviewed by: Vikram Sundaram, CISO</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by</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Ananya Rao, CEO</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Audience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Board of Directors · Steering Committee · Executive leadership team</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Certification outcome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ISO/IEC 27001:2022 certificate issued 14 April 2027  |  Certificate No. MST-ISO27K-2027-0841</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Certificate validity</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14 April 2027 – 13 April 2030</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Classification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Confidential — Board and Executive Leadership only</w:t>
            </w:r>
          </w:p>
        </w:tc>
      </w:tr>
    </w:tbl>
    <w:p>
      <w:r>
        <w:br w:type="page"/>
      </w:r>
    </w:p>
    <w:p>
      <w:pPr>
        <w:pStyle w:val="Heading1"/>
        <w:spacing w:after="100" w:before="280"/>
      </w:pPr>
      <w:r>
        <w:rPr>
          <w:rFonts w:ascii="Aptos" w:cs="Aptos" w:eastAsia="Aptos" w:hAnsi="Aptos"/>
          <w:b/>
          <w:bCs/>
          <w:i w:val="false"/>
          <w:iCs w:val="false"/>
          <w:color w:val="000000"/>
          <w:sz w:val="34"/>
          <w:szCs w:val="34"/>
        </w:rPr>
        <w:t xml:space="preserve">Executive Summary</w:t>
      </w:r>
    </w:p>
    <w:p>
      <w:pPr>
        <w:spacing w:after="120" w:before="0"/>
        <w:jc w:val="left"/>
      </w:pPr>
      <w:r>
        <w:rPr>
          <w:rFonts w:ascii="Aptos" w:cs="Aptos" w:eastAsia="Aptos" w:hAnsi="Aptos"/>
          <w:b w:val="false"/>
          <w:bCs w:val="false"/>
          <w:i w:val="false"/>
          <w:iCs w:val="false"/>
          <w:color w:val="000000"/>
          <w:sz w:val="24"/>
          <w:szCs w:val="24"/>
        </w:rPr>
        <w:t xml:space="preserve">In February 2026, MediSync Technologies launched Project HealthSec — a 14-month programme to design, implement, and certify an Information Security Management System to ISO/IEC 27001:2022. The programme achieved its objective. On 14 April 2027, MediSync received ISO/IEC 27001:2022 certification, becoming one of a minority of Indian healthcare SaaS platforms to hold this certification under the 2022 revision of the standard.</w:t>
      </w:r>
    </w:p>
    <w:p>
      <w:pPr>
        <w:spacing w:after="120" w:before="60"/>
        <w:jc w:val="left"/>
      </w:pPr>
      <w:r>
        <w:rPr>
          <w:rFonts w:ascii="Aptos" w:cs="Aptos" w:eastAsia="Aptos" w:hAnsi="Aptos"/>
          <w:b w:val="false"/>
          <w:bCs w:val="false"/>
          <w:i w:val="false"/>
          <w:iCs w:val="false"/>
          <w:color w:val="000000"/>
          <w:sz w:val="24"/>
          <w:szCs w:val="24"/>
        </w:rPr>
        <w:t xml:space="preserve">This document summarises the programme for the Board and senior leadership team. It describes what was built, what the certification process found, and what the certification means commercially and operationally. It is not a technical document — the 92 technical documents that constitute the ISMS are available on request.</w:t>
      </w:r>
    </w:p>
    <w:p>
      <w:pPr>
        <w:spacing w:after="60" w:before="6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200"/>
        <w:gridCol w:w="9880"/>
      </w:tblGrid>
      <w:tr>
        <w:tc>
          <w:tcPr>
            <w:tcW w:type="dxa" w:w="200"/>
            <w:tcBorders>
              <w:top w:val="single" w:color="1F3864" w:sz="4"/>
              <w:left w:val="single" w:color="1F3864" w:sz="4"/>
              <w:bottom w:val="single" w:color="1F3864" w:sz="4"/>
              <w:right w:val="none"/>
            </w:tcBorders>
            <w:shd w:fill="1F3864"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880"/>
            <w:tcBorders>
              <w:top w:val="single" w:color="BDD7EE" w:sz="4"/>
              <w:left w:val="none"/>
              <w:bottom w:val="single" w:color="BDD7EE" w:sz="4"/>
              <w:right w:val="single" w:color="BDD7EE" w:sz="4"/>
            </w:tcBorders>
            <w:shd w:fill="DDEBF7" w:color="auto" w:val="clear"/>
            <w:tcMar>
              <w:top w:type="dxa" w:w="100"/>
              <w:left w:type="dxa" w:w="200"/>
              <w:bottom w:type="dxa" w:w="100"/>
              <w:right w:type="dxa" w:w="160"/>
            </w:tcMar>
          </w:tcPr>
          <w:p>
            <w:pPr>
              <w:spacing w:after="20" w:before="0"/>
            </w:pPr>
            <w:r>
              <w:rPr>
                <w:rFonts w:ascii="Aptos" w:cs="Aptos" w:eastAsia="Aptos" w:hAnsi="Aptos"/>
                <w:b/>
                <w:bCs/>
                <w:i w:val="false"/>
                <w:iCs w:val="false"/>
                <w:color w:val="1F3864"/>
                <w:sz w:val="48"/>
                <w:szCs w:val="48"/>
              </w:rPr>
              <w:t xml:space="preserve">0</w:t>
            </w:r>
          </w:p>
          <w:p>
            <w:pPr>
              <w:spacing w:after="30" w:before="0"/>
            </w:pPr>
            <w:r>
              <w:rPr>
                <w:rFonts w:ascii="Aptos" w:cs="Aptos" w:eastAsia="Aptos" w:hAnsi="Aptos"/>
                <w:b/>
                <w:bCs/>
                <w:i w:val="false"/>
                <w:iCs w:val="false"/>
                <w:color w:val="1F3864"/>
                <w:sz w:val="24"/>
                <w:szCs w:val="24"/>
              </w:rPr>
              <w:t xml:space="preserve">Major nonconformities at Stage 2</w:t>
            </w:r>
          </w:p>
          <w:p>
            <w:pPr>
              <w:spacing w:after="0" w:before="0"/>
            </w:pPr>
            <w:r>
              <w:rPr>
                <w:rFonts w:ascii="Aptos" w:cs="Aptos" w:eastAsia="Aptos" w:hAnsi="Aptos"/>
                <w:b w:val="false"/>
                <w:bCs w:val="false"/>
                <w:i/>
                <w:iCs/>
                <w:color w:val="595959"/>
                <w:sz w:val="20"/>
                <w:szCs w:val="20"/>
              </w:rPr>
              <w:t xml:space="preserve">The on-site certification audit (March 2027) found zero major nonconformities and zero minor nonconformities across all 93 Annex A controls.</w:t>
            </w:r>
          </w:p>
        </w:tc>
      </w:tr>
    </w:tbl>
    <w:p>
      <w:pPr>
        <w:spacing w:after="12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200"/>
        <w:gridCol w:w="9880"/>
      </w:tblGrid>
      <w:tr>
        <w:tc>
          <w:tcPr>
            <w:tcW w:type="dxa" w:w="200"/>
            <w:tcBorders>
              <w:top w:val="single" w:color="1F3864" w:sz="4"/>
              <w:left w:val="single" w:color="1F3864" w:sz="4"/>
              <w:bottom w:val="single" w:color="1F3864" w:sz="4"/>
              <w:right w:val="none"/>
            </w:tcBorders>
            <w:shd w:fill="1F3864"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880"/>
            <w:tcBorders>
              <w:top w:val="single" w:color="BDD7EE" w:sz="4"/>
              <w:left w:val="none"/>
              <w:bottom w:val="single" w:color="BDD7EE" w:sz="4"/>
              <w:right w:val="single" w:color="BDD7EE" w:sz="4"/>
            </w:tcBorders>
            <w:shd w:fill="DDEBF7" w:color="auto" w:val="clear"/>
            <w:tcMar>
              <w:top w:type="dxa" w:w="100"/>
              <w:left w:type="dxa" w:w="200"/>
              <w:bottom w:type="dxa" w:w="100"/>
              <w:right w:type="dxa" w:w="160"/>
            </w:tcMar>
          </w:tcPr>
          <w:p>
            <w:pPr>
              <w:spacing w:after="20" w:before="0"/>
            </w:pPr>
            <w:r>
              <w:rPr>
                <w:rFonts w:ascii="Aptos" w:cs="Aptos" w:eastAsia="Aptos" w:hAnsi="Aptos"/>
                <w:b/>
                <w:bCs/>
                <w:i w:val="false"/>
                <w:iCs w:val="false"/>
                <w:color w:val="1F3864"/>
                <w:sz w:val="48"/>
                <w:szCs w:val="48"/>
              </w:rPr>
              <w:t xml:space="preserve">62.4%</w:t>
            </w:r>
          </w:p>
          <w:p>
            <w:pPr>
              <w:spacing w:after="30" w:before="0"/>
            </w:pPr>
            <w:r>
              <w:rPr>
                <w:rFonts w:ascii="Aptos" w:cs="Aptos" w:eastAsia="Aptos" w:hAnsi="Aptos"/>
                <w:b/>
                <w:bCs/>
                <w:i w:val="false"/>
                <w:iCs w:val="false"/>
                <w:color w:val="1F3864"/>
                <w:sz w:val="24"/>
                <w:szCs w:val="24"/>
              </w:rPr>
              <w:t xml:space="preserve">Reduction in phishing click rate</w:t>
            </w:r>
          </w:p>
          <w:p>
            <w:pPr>
              <w:spacing w:after="0" w:before="0"/>
            </w:pPr>
            <w:r>
              <w:rPr>
                <w:rFonts w:ascii="Aptos" w:cs="Aptos" w:eastAsia="Aptos" w:hAnsi="Aptos"/>
                <w:b w:val="false"/>
                <w:bCs w:val="false"/>
                <w:i/>
                <w:iCs/>
                <w:color w:val="595959"/>
                <w:sz w:val="20"/>
                <w:szCs w:val="20"/>
              </w:rPr>
              <w:t xml:space="preserve">From 22.1% baseline (August 2026) to 8.3% (February 2027). Finance department specifically: from 18.4% to 4.2% — the department that was the subject of the 2024 near-miss.</w:t>
            </w:r>
          </w:p>
        </w:tc>
      </w:tr>
    </w:tbl>
    <w:p>
      <w:pPr>
        <w:spacing w:after="12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200"/>
        <w:gridCol w:w="9880"/>
      </w:tblGrid>
      <w:tr>
        <w:tc>
          <w:tcPr>
            <w:tcW w:type="dxa" w:w="200"/>
            <w:tcBorders>
              <w:top w:val="single" w:color="1F3864" w:sz="4"/>
              <w:left w:val="single" w:color="1F3864" w:sz="4"/>
              <w:bottom w:val="single" w:color="1F3864" w:sz="4"/>
              <w:right w:val="none"/>
            </w:tcBorders>
            <w:shd w:fill="1F3864"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880"/>
            <w:tcBorders>
              <w:top w:val="single" w:color="BDD7EE" w:sz="4"/>
              <w:left w:val="none"/>
              <w:bottom w:val="single" w:color="BDD7EE" w:sz="4"/>
              <w:right w:val="single" w:color="BDD7EE" w:sz="4"/>
            </w:tcBorders>
            <w:shd w:fill="DDEBF7" w:color="auto" w:val="clear"/>
            <w:tcMar>
              <w:top w:type="dxa" w:w="100"/>
              <w:left w:type="dxa" w:w="200"/>
              <w:bottom w:type="dxa" w:w="100"/>
              <w:right w:type="dxa" w:w="160"/>
            </w:tcMar>
          </w:tcPr>
          <w:p>
            <w:pPr>
              <w:spacing w:after="20" w:before="0"/>
            </w:pPr>
            <w:r>
              <w:rPr>
                <w:rFonts w:ascii="Aptos" w:cs="Aptos" w:eastAsia="Aptos" w:hAnsi="Aptos"/>
                <w:b/>
                <w:bCs/>
                <w:i w:val="false"/>
                <w:iCs w:val="false"/>
                <w:color w:val="1F3864"/>
                <w:sz w:val="48"/>
                <w:szCs w:val="48"/>
              </w:rPr>
              <w:t xml:space="preserve">14</w:t>
            </w:r>
          </w:p>
          <w:p>
            <w:pPr>
              <w:spacing w:after="30" w:before="0"/>
            </w:pPr>
            <w:r>
              <w:rPr>
                <w:rFonts w:ascii="Aptos" w:cs="Aptos" w:eastAsia="Aptos" w:hAnsi="Aptos"/>
                <w:b/>
                <w:bCs/>
                <w:i w:val="false"/>
                <w:iCs w:val="false"/>
                <w:color w:val="1F3864"/>
                <w:sz w:val="24"/>
                <w:szCs w:val="24"/>
              </w:rPr>
              <w:t xml:space="preserve">Months from launch to certificate</w:t>
            </w:r>
          </w:p>
          <w:p>
            <w:pPr>
              <w:spacing w:after="0" w:before="0"/>
            </w:pPr>
            <w:r>
              <w:rPr>
                <w:rFonts w:ascii="Aptos" w:cs="Aptos" w:eastAsia="Aptos" w:hAnsi="Aptos"/>
                <w:b w:val="false"/>
                <w:bCs w:val="false"/>
                <w:i/>
                <w:iCs/>
                <w:color w:val="595959"/>
                <w:sz w:val="20"/>
                <w:szCs w:val="20"/>
              </w:rPr>
              <w:t xml:space="preserve">February 2026 to April 2027. Budget: ₹1.71 Cr consulting engagement. 92 ISMS documents produced across 10 programme phases.</w:t>
            </w:r>
          </w:p>
        </w:tc>
      </w:tr>
    </w:tbl>
    <w:p>
      <w:pPr>
        <w:spacing w:after="120" w:before="0"/>
        <w:jc w:val="left"/>
      </w:pPr>
      <w:r>
        <w:rPr>
          <w:rFonts w:ascii="Aptos" w:cs="Aptos" w:eastAsia="Aptos" w:hAnsi="Aptos"/>
          <w:b w:val="false"/>
          <w:bCs w:val="false"/>
          <w:i w:val="false"/>
          <w:iCs w:val="false"/>
          <w:color w:val="000000"/>
          <w:sz w:val="24"/>
          <w:szCs w:val="24"/>
        </w:rPr>
        <w:t xml:space="preserve"/>
      </w:r>
    </w:p>
    <w:p>
      <w:pPr>
        <w:pStyle w:val="Heading1"/>
        <w:spacing w:after="100" w:before="280"/>
      </w:pPr>
      <w:r>
        <w:rPr>
          <w:rFonts w:ascii="Aptos" w:cs="Aptos" w:eastAsia="Aptos" w:hAnsi="Aptos"/>
          <w:b/>
          <w:bCs/>
          <w:i w:val="false"/>
          <w:iCs w:val="false"/>
          <w:color w:val="000000"/>
          <w:sz w:val="34"/>
          <w:szCs w:val="34"/>
        </w:rPr>
        <w:t xml:space="preserve">1. Why We Built This</w:t>
      </w:r>
    </w:p>
    <w:p>
      <w:pPr>
        <w:spacing w:after="120" w:before="0"/>
        <w:jc w:val="left"/>
      </w:pPr>
      <w:r>
        <w:rPr>
          <w:rFonts w:ascii="Aptos" w:cs="Aptos" w:eastAsia="Aptos" w:hAnsi="Aptos"/>
          <w:b w:val="false"/>
          <w:bCs w:val="false"/>
          <w:i w:val="false"/>
          <w:iCs w:val="false"/>
          <w:color w:val="000000"/>
          <w:sz w:val="24"/>
          <w:szCs w:val="24"/>
        </w:rPr>
        <w:t xml:space="preserve">MediSync processes electronic health records, clinical lab results, telemedicine sessions, and insurance claims for 183 hospital and clinic customers across India and the UAE. At the start of 2026, we had no formal Information Security Management System. We had a security team, technical controls, and internal policies — but no documented, governed, and independently verified framework.</w:t>
      </w:r>
    </w:p>
    <w:p>
      <w:pPr>
        <w:spacing w:after="120" w:before="60"/>
        <w:jc w:val="left"/>
      </w:pPr>
      <w:r>
        <w:rPr>
          <w:rFonts w:ascii="Aptos" w:cs="Aptos" w:eastAsia="Aptos" w:hAnsi="Aptos"/>
          <w:b w:val="false"/>
          <w:bCs w:val="false"/>
          <w:i w:val="false"/>
          <w:iCs w:val="false"/>
          <w:color w:val="000000"/>
          <w:sz w:val="24"/>
          <w:szCs w:val="24"/>
        </w:rPr>
        <w:t xml:space="preserve">Three forces drove the decision to build one:</w:t>
      </w:r>
    </w:p>
    <w:p>
      <w:pPr>
        <w:spacing w:after="120" w:before="60"/>
        <w:jc w:val="left"/>
      </w:pPr>
      <w:r>
        <w:rPr>
          <w:rFonts w:ascii="Aptos" w:cs="Aptos" w:eastAsia="Aptos" w:hAnsi="Aptos"/>
          <w:b w:val="false"/>
          <w:bCs w:val="false"/>
          <w:i w:val="false"/>
          <w:iCs w:val="false"/>
          <w:color w:val="000000"/>
          <w:sz w:val="24"/>
          <w:szCs w:val="24"/>
        </w:rPr>
        <w:t xml:space="preserve">The Board approved the Project HealthSec budget and timeline in January 2026. The programme was governed by the newly constituted Information Security Steering Committee, chaired by the CEO.</w:t>
      </w:r>
    </w:p>
    <w:p>
      <w:pPr>
        <w:pStyle w:val="Heading1"/>
        <w:spacing w:after="100" w:before="280"/>
      </w:pPr>
      <w:r>
        <w:rPr>
          <w:rFonts w:ascii="Aptos" w:cs="Aptos" w:eastAsia="Aptos" w:hAnsi="Aptos"/>
          <w:b/>
          <w:bCs/>
          <w:i w:val="false"/>
          <w:iCs w:val="false"/>
          <w:color w:val="000000"/>
          <w:sz w:val="34"/>
          <w:szCs w:val="34"/>
        </w:rPr>
        <w:t xml:space="preserve">2. What Was Built</w:t>
      </w:r>
    </w:p>
    <w:p>
      <w:pPr>
        <w:spacing w:after="120" w:before="0"/>
        <w:jc w:val="left"/>
      </w:pPr>
      <w:r>
        <w:rPr>
          <w:rFonts w:ascii="Aptos" w:cs="Aptos" w:eastAsia="Aptos" w:hAnsi="Aptos"/>
          <w:b w:val="false"/>
          <w:bCs w:val="false"/>
          <w:i w:val="false"/>
          <w:iCs w:val="false"/>
          <w:color w:val="000000"/>
          <w:sz w:val="24"/>
          <w:szCs w:val="24"/>
        </w:rPr>
        <w:t xml:space="preserve">Project HealthSec produced a complete, operational ISMS covering all of MediSync's information assets, systems, processes, and staff across four locations and two cloud hosting environments. The scope — confirmed by the certification body — covers all 8 MediSync products, approximately 430 staff, and 183 hospital and clinic customers.</w:t>
      </w:r>
    </w:p>
    <w:p>
      <w:pPr>
        <w:pStyle w:val="Heading2"/>
        <w:spacing w:after="80" w:before="200"/>
      </w:pPr>
      <w:r>
        <w:rPr>
          <w:rFonts w:ascii="Aptos" w:cs="Aptos" w:eastAsia="Aptos" w:hAnsi="Aptos"/>
          <w:b/>
          <w:bCs/>
          <w:i w:val="false"/>
          <w:iCs w:val="false"/>
          <w:color w:val="000000"/>
          <w:sz w:val="28"/>
          <w:szCs w:val="28"/>
        </w:rPr>
        <w:t xml:space="preserve">2.1 The ISMS framework</w:t>
      </w:r>
    </w:p>
    <w:p>
      <w:pPr>
        <w:spacing w:after="120" w:before="0"/>
        <w:jc w:val="left"/>
      </w:pPr>
      <w:r>
        <w:rPr>
          <w:rFonts w:ascii="Aptos" w:cs="Aptos" w:eastAsia="Aptos" w:hAnsi="Aptos"/>
          <w:b w:val="false"/>
          <w:bCs w:val="false"/>
          <w:i w:val="false"/>
          <w:iCs w:val="false"/>
          <w:color w:val="000000"/>
          <w:sz w:val="24"/>
          <w:szCs w:val="24"/>
        </w:rPr>
        <w:t xml:space="preserve">The ISMS was built across 10 structured phases, each producing documented evidence that the programme progressed from planning to operation to independent verification. Key components include:</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A formal risk register — 21 identified risks, all assessed and treated. At the time of certification, 0 risks remain at HIGH severity. The highest-severity risk at programme start (R-006 — IR plan failure) was reduced by rebuilding the incident response procedure from scratch and testing it in a live tabletop exercise.</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A Statement of Applicability — all 93 ISO 27001:2022 Annex A controls addressed. 89 are Fully Implemented. 2 remain In Progress with accepted and documented timelines (both with external dependencies: UAE DR testing and DPDP Act implementation rules).</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Operational procedures — covering cloud security configuration, access control, change management, incident response, business continuity and disaster recovery, supplier management, and software development security.</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A training and awareness programme — all ~430 staff trained. The phishing simulation programme established a measurable baseline and produced a 62.4% click-rate reduction in six months.</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A monitoring and measurement programme — 28 KPIs measured monthly. Monthly GRC status reports to the CISO. Quarterly Steering Committee review. Annual management review.</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An improvement process — three nonconformities identified at the internal audit (December 2026) were all corrected before the external certification audit. The certification body confirmed all three were genuinely corrected at root cause level.</w:t>
      </w:r>
    </w:p>
    <w:p>
      <w:pPr>
        <w:pStyle w:val="Heading2"/>
        <w:spacing w:after="80" w:before="200"/>
      </w:pPr>
      <w:r>
        <w:rPr>
          <w:rFonts w:ascii="Aptos" w:cs="Aptos" w:eastAsia="Aptos" w:hAnsi="Aptos"/>
          <w:b/>
          <w:bCs/>
          <w:i w:val="false"/>
          <w:iCs w:val="false"/>
          <w:color w:val="000000"/>
          <w:sz w:val="28"/>
          <w:szCs w:val="28"/>
        </w:rPr>
        <w:t xml:space="preserve">2.2 The audit programme</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6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Stage</w:t>
            </w:r>
          </w:p>
        </w:tc>
        <w:tc>
          <w:tcPr>
            <w:tcW w:type="dxa" w:w="7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Outcome</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Internal Audit 1 (December 2026)</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Conducted by an independent external audit lead (IRCA-registered). 0 major nonconformities. 3 minor nonconformities — all corrected by January 2027, ahead of the certification audit. Audit 2 (February 2027) confirmed all three corrective actions effective.</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Stage 1 (February 2027)</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ISO/IEC 27001:2022 documentation review by the certification body. Positive recommendation to proceed to Stage 2. 3 positive findings. 2 conditions set — both resolved by 28 February 2027.</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Stage 2 (March 2027)</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5-day on-site certification audit at Bengaluru HQ (with video sessions for Pune, Hyderabad, Dubai). 0 major NCRs. 0 minor NCRs. 5 positive findings. 1 condition of certificate issuance (A5.36 annual compliance review — satisfied 31 March 2027).</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Certification (April 2027)</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Certificate issued 14 April 2027 by the certification body (accredited by UKAS). Certificate number: MST-ISO27K-2027-0841. Valid to 13 April 2030.</w:t>
            </w:r>
          </w:p>
        </w:tc>
      </w:tr>
    </w:tbl>
    <w:p>
      <w:pPr>
        <w:pStyle w:val="Heading1"/>
        <w:spacing w:after="100" w:before="280"/>
      </w:pPr>
      <w:r>
        <w:rPr>
          <w:rFonts w:ascii="Aptos" w:cs="Aptos" w:eastAsia="Aptos" w:hAnsi="Aptos"/>
          <w:b/>
          <w:bCs/>
          <w:i w:val="false"/>
          <w:iCs w:val="false"/>
          <w:color w:val="000000"/>
          <w:sz w:val="34"/>
          <w:szCs w:val="34"/>
        </w:rPr>
        <w:t xml:space="preserve">3. What the Certification Audit Found</w:t>
      </w:r>
    </w:p>
    <w:p>
      <w:pPr>
        <w:spacing w:after="120" w:before="0"/>
        <w:jc w:val="left"/>
      </w:pPr>
      <w:r>
        <w:rPr>
          <w:rFonts w:ascii="Aptos" w:cs="Aptos" w:eastAsia="Aptos" w:hAnsi="Aptos"/>
          <w:b w:val="false"/>
          <w:bCs w:val="false"/>
          <w:i w:val="false"/>
          <w:iCs w:val="false"/>
          <w:color w:val="000000"/>
          <w:sz w:val="24"/>
          <w:szCs w:val="24"/>
        </w:rPr>
        <w:t xml:space="preserve">The certification body's lead auditor, in the closing meeting of the Stage 2 audit, stated: "I have been conducting ISO 27001 audits for eleven years. In that time, I have seen organisations that have a certification — a document in a frame on a wall. And I have seen organisations that have a security programme — something that is genuinely embedded, that the people in the organisation understand, that produces measurable results. You have the second kind."</w:t>
      </w:r>
    </w:p>
    <w:p>
      <w:pPr>
        <w:spacing w:after="120" w:before="60"/>
        <w:jc w:val="left"/>
      </w:pPr>
      <w:r>
        <w:rPr>
          <w:rFonts w:ascii="Aptos" w:cs="Aptos" w:eastAsia="Aptos" w:hAnsi="Aptos"/>
          <w:b w:val="false"/>
          <w:bCs w:val="false"/>
          <w:i w:val="false"/>
          <w:iCs w:val="false"/>
          <w:color w:val="000000"/>
          <w:sz w:val="24"/>
          <w:szCs w:val="24"/>
        </w:rPr>
        <w:t xml:space="preserve">This is the board-level significance of the audit outcome. The certification body did not find a documentation exercise. It found an operational security programme. The specific evidence:</w:t>
      </w:r>
    </w:p>
    <w:p>
      <w:pPr>
        <w:pStyle w:val="Heading2"/>
        <w:spacing w:after="80" w:before="200"/>
      </w:pPr>
      <w:r>
        <w:rPr>
          <w:rFonts w:ascii="Aptos" w:cs="Aptos" w:eastAsia="Aptos" w:hAnsi="Aptos"/>
          <w:b/>
          <w:bCs/>
          <w:i w:val="false"/>
          <w:iCs w:val="false"/>
          <w:color w:val="000000"/>
          <w:sz w:val="28"/>
          <w:szCs w:val="28"/>
        </w:rPr>
        <w:t xml:space="preserve">3.1 Controls verified in production</w:t>
      </w:r>
    </w:p>
    <w:p>
      <w:pPr>
        <w:spacing w:after="120" w:before="0"/>
        <w:jc w:val="left"/>
      </w:pPr>
      <w:r>
        <w:rPr>
          <w:rFonts w:ascii="Aptos" w:cs="Aptos" w:eastAsia="Aptos" w:hAnsi="Aptos"/>
          <w:b w:val="false"/>
          <w:bCs w:val="false"/>
          <w:i w:val="false"/>
          <w:iCs w:val="false"/>
          <w:color w:val="000000"/>
          <w:sz w:val="24"/>
          <w:szCs w:val="24"/>
        </w:rPr>
        <w:t xml:space="preserve">The certification body's Stage 2 audit verified controls in the live production environment — not through documentation review alone. Key findings:</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Backup immutability: S3 Object Lock and Azure Immutable Blob Storage were both confirmed active in live production consoles. If MediSync were subject to a ransomware attack, backups are protected and recovery is possible.</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Incident response embedded: the SOC Manager described the complete CERT-In notification process — including the critical 6-hour clock trigger — from memory, without consulting the written procedure. She also described, unprompted, a correction made after the October 2026 tabletop exercise. This is the kind of internalisation that distinguishes a genuine security programme from a documented one.</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Security development lifecycle: a live demonstration showed GitHub branch protection rejecting a direct push to the main code branch. GitHub Advanced Security (GHAS) secret scanning caught a real AWS access key exposure on 8 March 2027 — a developer had accidentally included it in a feature branch — and it was rotated within 2 hours of detection.</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Key management: zero AWS Secrets Manager secrets were overdue for rotation. KMS customer-managed key auto-rotation was confirmed enabled.</w:t>
      </w:r>
    </w:p>
    <w:p>
      <w:pPr>
        <w:pStyle w:val="Heading2"/>
        <w:spacing w:after="80" w:before="200"/>
      </w:pPr>
      <w:r>
        <w:rPr>
          <w:rFonts w:ascii="Aptos" w:cs="Aptos" w:eastAsia="Aptos" w:hAnsi="Aptos"/>
          <w:b/>
          <w:bCs/>
          <w:i w:val="false"/>
          <w:iCs w:val="false"/>
          <w:color w:val="000000"/>
          <w:sz w:val="28"/>
          <w:szCs w:val="28"/>
        </w:rPr>
        <w:t xml:space="preserve">3.2 Corrective actions addressed root causes</w:t>
      </w:r>
    </w:p>
    <w:p>
      <w:pPr>
        <w:spacing w:after="120" w:before="0"/>
        <w:jc w:val="left"/>
      </w:pPr>
      <w:r>
        <w:rPr>
          <w:rFonts w:ascii="Aptos" w:cs="Aptos" w:eastAsia="Aptos" w:hAnsi="Aptos"/>
          <w:b w:val="false"/>
          <w:bCs w:val="false"/>
          <w:i w:val="false"/>
          <w:iCs w:val="false"/>
          <w:color w:val="000000"/>
          <w:sz w:val="24"/>
          <w:szCs w:val="24"/>
        </w:rPr>
        <w:t xml:space="preserve">The internal audit found three nonconformities. The certification body's knowledge checks specifically tested whether the root causes — not just the symptoms — were addressed:</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The certificate register lacked renewal ownership, triggering, and governance visibility. Corrective action: the register was restructured, 90-day calendar reminders were set, and a certificate renewal status section was added to the monthly GRC report. The certification body asked the Head of HR to describe the renewal process from memory. She described it correctly.</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The emergency change process was not known to IT Operations. Corrective action: the team was briefed, a cross-reference was added to the operational procedure, and a retrospective change record was created. The certification body asked the IT Operations Lead to describe the process. He said: "Call CISO immediately. Get verbal approval before touching anything in production." He cited the November 2026 incident that made the lesson concrete.</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A control evidence entry (A5.8) cited a non-retrievable path. Corrective action: the evidence was created, the path was corrected, and a retrieval verification step was added to the completion process. The certification body's 15-control spot-check found 15 of 15 evidence items independently retrievable.</w:t>
      </w:r>
    </w:p>
    <w:p>
      <w:pPr>
        <w:pStyle w:val="Heading2"/>
        <w:spacing w:after="80" w:before="200"/>
      </w:pPr>
      <w:r>
        <w:rPr>
          <w:rFonts w:ascii="Aptos" w:cs="Aptos" w:eastAsia="Aptos" w:hAnsi="Aptos"/>
          <w:b/>
          <w:bCs/>
          <w:i w:val="false"/>
          <w:iCs w:val="false"/>
          <w:color w:val="000000"/>
          <w:sz w:val="28"/>
          <w:szCs w:val="28"/>
        </w:rPr>
        <w:t xml:space="preserve">3.3 Executive commitment confirmed genuine</w:t>
      </w:r>
    </w:p>
    <w:p>
      <w:pPr>
        <w:spacing w:after="120" w:before="0"/>
        <w:jc w:val="left"/>
      </w:pPr>
      <w:r>
        <w:rPr>
          <w:rFonts w:ascii="Aptos" w:cs="Aptos" w:eastAsia="Aptos" w:hAnsi="Aptos"/>
          <w:b w:val="false"/>
          <w:bCs w:val="false"/>
          <w:i w:val="false"/>
          <w:iCs w:val="false"/>
          <w:color w:val="000000"/>
          <w:sz w:val="24"/>
          <w:szCs w:val="24"/>
        </w:rPr>
        <w:t xml:space="preserve">The certification body's audit included a CEO interview. The lead auditor's assessment: "The CEO demonstrated genuine engagement with the ISMS scope, the management review process, and the escalation triggers. Not scripted — she described the actual process she participates in."</w:t>
      </w:r>
    </w:p>
    <w:p>
      <w:pPr>
        <w:spacing w:after="120" w:before="60"/>
        <w:jc w:val="left"/>
      </w:pPr>
      <w:r>
        <w:rPr>
          <w:rFonts w:ascii="Aptos" w:cs="Aptos" w:eastAsia="Aptos" w:hAnsi="Aptos"/>
          <w:b w:val="false"/>
          <w:bCs w:val="false"/>
          <w:i w:val="false"/>
          <w:iCs w:val="false"/>
          <w:color w:val="000000"/>
          <w:sz w:val="24"/>
          <w:szCs w:val="24"/>
        </w:rPr>
        <w:t xml:space="preserve">The CEO named the Stage 1 certification application as a document she had read before signing. She described the quarterly Steering Committee process from personal experience. The certification body's formal assessment: "Executive commitment is confirmed genuine. Significantly above average for an organisation of this size at initial certification."</w:t>
      </w:r>
    </w:p>
    <w:p>
      <w:pPr>
        <w:pStyle w:val="Heading1"/>
        <w:spacing w:after="100" w:before="280"/>
      </w:pPr>
      <w:r>
        <w:rPr>
          <w:rFonts w:ascii="Aptos" w:cs="Aptos" w:eastAsia="Aptos" w:hAnsi="Aptos"/>
          <w:b/>
          <w:bCs/>
          <w:i w:val="false"/>
          <w:iCs w:val="false"/>
          <w:color w:val="000000"/>
          <w:sz w:val="34"/>
          <w:szCs w:val="34"/>
        </w:rPr>
        <w:t xml:space="preserve">4. What This Means</w:t>
      </w:r>
    </w:p>
    <w:p>
      <w:pPr>
        <w:pStyle w:val="Heading2"/>
        <w:spacing w:after="80" w:before="200"/>
      </w:pPr>
      <w:r>
        <w:rPr>
          <w:rFonts w:ascii="Aptos" w:cs="Aptos" w:eastAsia="Aptos" w:hAnsi="Aptos"/>
          <w:b/>
          <w:bCs/>
          <w:i w:val="false"/>
          <w:iCs w:val="false"/>
          <w:color w:val="000000"/>
          <w:sz w:val="28"/>
          <w:szCs w:val="28"/>
        </w:rPr>
        <w:t xml:space="preserve">4.1 Commercial impact</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7280"/>
      </w:tblGrid>
      <w:tr>
        <w:trPr>
          <w:cantSplit/>
          <w:tblHeader/>
        </w:trPr>
        <w:tc>
          <w:tcPr>
            <w:tcW w:type="dxa" w:w="2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Dimension</w:t>
            </w:r>
          </w:p>
        </w:tc>
        <w:tc>
          <w:tcPr>
            <w:tcW w:type="dxa" w:w="72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Position post-certification</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Customer retention</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two enterprise customers who made certification a contractual condition for renewal are now able to renew without this barrier. Combined ARR at risk: approximately 18% of total. This risk is now resolved.</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New business</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 27001:2022 certification is a standard due diligence requirement for enterprise hospital procurement in India. MediSync can now respond affirmatively to the certification question in security questionnaires — a change from the previous response that required qualification.</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Sales cycle</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questionnaire response time target (OO-08): post-certification target is ≤5 business days. Current: 7–10 days. The pre-approved questionnaire response library being built (CI-007) will reduce this. A certification removes the most time-consuming security questions from questionnaire cycles entirely.</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UAE market</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UAE patient data jurisdiction is now explicitly within the certified scope, including Azure UAE North infrastructure. This directly supports the Dubai sales and operations team in the Middle East market where healthcare data governance is a growing procurement criterion.</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Regulatory posture</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ISMS provides a structured framework for managing CERT-In, DPDP Act, and UAE PDPL obligations. The incident notification procedure (three separate tracks for the three regulatory frameworks) was assessed by the certification body's healthcare IT technical expert as above average for an organisation of this size.</w:t>
            </w:r>
          </w:p>
        </w:tc>
      </w:tr>
    </w:tbl>
    <w:p>
      <w:pPr>
        <w:pStyle w:val="Heading2"/>
        <w:spacing w:after="80" w:before="200"/>
      </w:pPr>
      <w:r>
        <w:rPr>
          <w:rFonts w:ascii="Aptos" w:cs="Aptos" w:eastAsia="Aptos" w:hAnsi="Aptos"/>
          <w:b/>
          <w:bCs/>
          <w:i w:val="false"/>
          <w:iCs w:val="false"/>
          <w:color w:val="000000"/>
          <w:sz w:val="28"/>
          <w:szCs w:val="28"/>
        </w:rPr>
        <w:t xml:space="preserve">4.2 Operational impact</w:t>
      </w:r>
    </w:p>
    <w:p>
      <w:pPr>
        <w:spacing w:after="120" w:before="0"/>
        <w:jc w:val="left"/>
      </w:pPr>
      <w:r>
        <w:rPr>
          <w:rFonts w:ascii="Aptos" w:cs="Aptos" w:eastAsia="Aptos" w:hAnsi="Aptos"/>
          <w:b w:val="false"/>
          <w:bCs w:val="false"/>
          <w:i w:val="false"/>
          <w:iCs w:val="false"/>
          <w:color w:val="000000"/>
          <w:sz w:val="24"/>
          <w:szCs w:val="24"/>
        </w:rPr>
        <w:t xml:space="preserve">The ISMS has changed how MediSync operates, not just how it documents:</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Cloud security: a baseline configuration is defined for AWS and Azure. Sentinel monitors for deviations. An alert fires within 60 seconds of a configuration drift event. Before Project HealthSec, the 2024 cloud misconfiguration was undetected for three months.</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Incident response: a tested, three-track notification procedure is in place. The October 2026 tabletop exercise surfaced five gaps in the previous procedure — all five were corrected before the certification audit. The SOC Manager can now initiate the CERT-In notification process correctly from memory.</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Supplier management: VaultArchive (backup and DR), SentinelWatch (MSSP), and MedLink Gulf (integration) have all been formally assessed. Security obligations are contractually committed in security schedules. Sub-processor currency gaps found during assessment were corrected.</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Change management: every production change is logged. An emergency change process exists and is known to the team who need it. The November 2026 unapproved change was the last one — it became a lesson rather than a recurring pattern.</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Access control: a quarterly access review process confirmed and revealed 2 stale accounts in Q3 2026 (both disabled). Q4 2026 review found 0 stale accounts.</w:t>
      </w:r>
    </w:p>
    <w:p>
      <w:pPr>
        <w:pStyle w:val="Heading2"/>
        <w:spacing w:after="80" w:before="200"/>
      </w:pPr>
      <w:r>
        <w:rPr>
          <w:rFonts w:ascii="Aptos" w:cs="Aptos" w:eastAsia="Aptos" w:hAnsi="Aptos"/>
          <w:b/>
          <w:bCs/>
          <w:i w:val="false"/>
          <w:iCs w:val="false"/>
          <w:color w:val="000000"/>
          <w:sz w:val="28"/>
          <w:szCs w:val="28"/>
        </w:rPr>
        <w:t xml:space="preserve">4.3 What certification does not mean</w:t>
      </w:r>
    </w:p>
    <w:p>
      <w:pPr>
        <w:spacing w:after="120" w:before="0"/>
        <w:jc w:val="left"/>
      </w:pPr>
      <w:r>
        <w:rPr>
          <w:rFonts w:ascii="Aptos" w:cs="Aptos" w:eastAsia="Aptos" w:hAnsi="Aptos"/>
          <w:b w:val="false"/>
          <w:bCs w:val="false"/>
          <w:i w:val="false"/>
          <w:iCs w:val="false"/>
          <w:color w:val="000000"/>
          <w:sz w:val="24"/>
          <w:szCs w:val="24"/>
        </w:rPr>
        <w:t xml:space="preserve">The Board should understand what certification does and does not guarantee:</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Certification means the ISMS conforms to ISO/IEC 27001:2022 and was found operating effectively at the time of the audit. It does not mean MediSync is immune to security incidents — no certification does.</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Certification does not cover MediSync's customers' own IT environments. Hospital-side infrastructure, devices, and networks remain the responsibility of each hospital customer.</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Certification does not replace independent security testing. The annual penetration test programme continues. The February 2027 test found 0 Critical and 2 High findings — both remediated before certification.</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Certification requires ongoing maintenance. Annual surveillance audits are mandatory. The ISMS must remain operational — not just documented — throughout the 3-year certificate period.</w:t>
      </w:r>
    </w:p>
    <w:p>
      <w:pPr>
        <w:pStyle w:val="Heading1"/>
        <w:spacing w:after="100" w:before="280"/>
      </w:pPr>
      <w:r>
        <w:rPr>
          <w:rFonts w:ascii="Aptos" w:cs="Aptos" w:eastAsia="Aptos" w:hAnsi="Aptos"/>
          <w:b/>
          <w:bCs/>
          <w:i w:val="false"/>
          <w:iCs w:val="false"/>
          <w:color w:val="000000"/>
          <w:sz w:val="34"/>
          <w:szCs w:val="34"/>
        </w:rPr>
        <w:t xml:space="preserve">5. What Comes Next</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4280"/>
        <w:gridCol w:w="340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Milestone</w:t>
            </w:r>
          </w:p>
        </w:tc>
        <w:tc>
          <w:tcPr>
            <w:tcW w:type="dxa" w:w="42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Description</w:t>
            </w:r>
          </w:p>
        </w:tc>
        <w:tc>
          <w:tcPr>
            <w:tcW w:type="dxa" w:w="3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Target</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Post-certification management review</w:t>
            </w:r>
          </w:p>
        </w:tc>
        <w:tc>
          <w:tcPr>
            <w:tcW w:type="dxa" w:w="4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First management review of the ISMS post-certification. Review Year 1 objectives, confirm surveillance schedule, update IS objectives.</w:t>
            </w:r>
          </w:p>
        </w:tc>
        <w:tc>
          <w:tcPr>
            <w:tcW w:type="dxa" w:w="3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April / May 2027</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SentinelWatch BCDR test</w:t>
            </w:r>
          </w:p>
        </w:tc>
        <w:tc>
          <w:tcPr>
            <w:tcW w:type="dxa" w:w="4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schedule condition — SentinelWatch committed to completing their BCDR test. Confirmation required before first surveillance audit.</w:t>
            </w:r>
          </w:p>
        </w:tc>
        <w:tc>
          <w:tcPr>
            <w:tcW w:type="dxa" w:w="3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 by April 2027</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Phishing simulation Year 2</w:t>
            </w:r>
          </w:p>
        </w:tc>
        <w:tc>
          <w:tcPr>
            <w:tcW w:type="dxa" w:w="4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Third phishing simulation. Target: click rate maintained at or below 10%. Results inform the Year 2 awareness programme refresh.</w:t>
            </w:r>
          </w:p>
        </w:tc>
        <w:tc>
          <w:tcPr>
            <w:tcW w:type="dxa" w:w="3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August / September 2027</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UAE region DR test</w:t>
            </w:r>
          </w:p>
        </w:tc>
        <w:tc>
          <w:tcPr>
            <w:tcW w:type="dxa" w:w="4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First disaster recovery test of Azure UAE North. India region tested October 2026 (all RTOs met). UAE test confirms both cloud regions are recovery-capable.</w:t>
            </w:r>
          </w:p>
        </w:tc>
        <w:tc>
          <w:tcPr>
            <w:tcW w:type="dxa" w:w="3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October 2027</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Surveillance Audit 1</w:t>
            </w:r>
          </w:p>
        </w:tc>
        <w:tc>
          <w:tcPr>
            <w:tcW w:type="dxa" w:w="4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First mandatory annual surveillance audit by the certification body. Certificate can be suspended if this is missed.</w:t>
            </w:r>
          </w:p>
        </w:tc>
        <w:tc>
          <w:tcPr>
            <w:tcW w:type="dxa" w:w="3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December 2027</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Year 2 awareness programme refresh</w:t>
            </w:r>
          </w:p>
        </w:tc>
        <w:tc>
          <w:tcPr>
            <w:tcW w:type="dxa" w:w="4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Update the security awareness programme incorporating phishing simulation results, lessons from any incidents, and regulatory developments.</w:t>
            </w:r>
          </w:p>
        </w:tc>
        <w:tc>
          <w:tcPr>
            <w:tcW w:type="dxa" w:w="3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June / July 2027</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A5.36 Year 2 compliance review</w:t>
            </w:r>
          </w:p>
        </w:tc>
        <w:tc>
          <w:tcPr>
            <w:tcW w:type="dxa" w:w="4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Second annual IS policy and procedures compliance review.</w:t>
            </w:r>
          </w:p>
        </w:tc>
        <w:tc>
          <w:tcPr>
            <w:tcW w:type="dxa" w:w="3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March 2028</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Surveillance Audit 2</w:t>
            </w:r>
          </w:p>
        </w:tc>
        <w:tc>
          <w:tcPr>
            <w:tcW w:type="dxa" w:w="4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Second mandatory annual surveillance audit.</w:t>
            </w:r>
          </w:p>
        </w:tc>
        <w:tc>
          <w:tcPr>
            <w:tcW w:type="dxa" w:w="3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December 2028</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Recertification audit</w:t>
            </w:r>
          </w:p>
        </w:tc>
        <w:tc>
          <w:tcPr>
            <w:tcW w:type="dxa" w:w="4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Full scope recertification — equivalent to Stage 2. Certificate expires 13 April 2030.</w:t>
            </w:r>
          </w:p>
        </w:tc>
        <w:tc>
          <w:tcPr>
            <w:tcW w:type="dxa" w:w="3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December 2029</w:t>
            </w:r>
          </w:p>
        </w:tc>
      </w:tr>
    </w:tbl>
    <w:p>
      <w:pPr>
        <w:pStyle w:val="Heading1"/>
        <w:spacing w:after="100" w:before="280"/>
      </w:pPr>
      <w:r>
        <w:rPr>
          <w:rFonts w:ascii="Aptos" w:cs="Aptos" w:eastAsia="Aptos" w:hAnsi="Aptos"/>
          <w:b/>
          <w:bCs/>
          <w:i w:val="false"/>
          <w:iCs w:val="false"/>
          <w:color w:val="000000"/>
          <w:sz w:val="34"/>
          <w:szCs w:val="34"/>
        </w:rPr>
        <w:t xml:space="preserve">6. Programme Performance</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6880"/>
      </w:tblGrid>
      <w:tr>
        <w:trPr>
          <w:cantSplit/>
          <w:tblHeader/>
        </w:trPr>
        <w:tc>
          <w:tcPr>
            <w:tcW w:type="dxa" w:w="3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Metric</w:t>
            </w:r>
          </w:p>
        </w:tc>
        <w:tc>
          <w:tcPr>
            <w:tcW w:type="dxa" w:w="6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Result</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Budget (consulting engagement)</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₹1.71 Cr approved. Programme delivered on budget.</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Timeline</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14 months (February 2026 – April 2027). On schedule per the original programme milestone plan (M-01 to M-10 in ISMS-INI-003).</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documents produced</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92 documents across 10 phases. All available in the GRC Repository (Microsoft SharePoint).</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Internal audit result</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 major NCRs. 3 minor NCRs — all corrected before certification audit.</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Stage 1 result</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Positive recommendation. 3 positive findings. 2 conditions — both resolved on time.</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Stage 2 result</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 major NCRs. 0 minor NCRs. 5 positive findings. Certification recommended.</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Certificate issuance condition</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A5.36 annual compliance review — completed 28 March 2027, evidence submitted 31 March 2027. Within the agreed deadline.</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Awareness completion</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96.3% of ~430 staff at certification date (up from 0% at programme start). Target ≥95% — MET.</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Phishing simulation</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22.1% → 8.3% click rate (62.4% reduction in 6 months). Finance: 18.4% → 4.2%. Target ≥50% reduction — EXCEEDED.</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register</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21 risks identified and assessed. 0 HIGH risks at certification (1 HIGH identified, R-006, closed by October 2026). 3 closures confirmed by certification body.</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SoA — Fully Implemented controls</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89 of 93 Annex A controls (95.7%). 2 IP with accepted external-dependency timelines. 0 NI without justification.</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Penetration test (February 2027)</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 Critical findings. 2 High findings — both remediated before Stage 2 commenced.</w:t>
            </w:r>
          </w:p>
        </w:tc>
      </w:tr>
    </w:tbl>
    <w:p>
      <w:pPr>
        <w:pStyle w:val="Heading1"/>
        <w:spacing w:after="100" w:before="280"/>
      </w:pPr>
      <w:r>
        <w:rPr>
          <w:rFonts w:ascii="Aptos" w:cs="Aptos" w:eastAsia="Aptos" w:hAnsi="Aptos"/>
          <w:b/>
          <w:bCs/>
          <w:i w:val="false"/>
          <w:iCs w:val="false"/>
          <w:color w:val="000000"/>
          <w:sz w:val="34"/>
          <w:szCs w:val="34"/>
        </w:rPr>
        <w:t xml:space="preserve">7. Acknowledgements</w:t>
      </w:r>
    </w:p>
    <w:p>
      <w:pPr>
        <w:spacing w:after="120" w:before="0"/>
        <w:jc w:val="left"/>
      </w:pPr>
      <w:r>
        <w:rPr>
          <w:rFonts w:ascii="Aptos" w:cs="Aptos" w:eastAsia="Aptos" w:hAnsi="Aptos"/>
          <w:b w:val="false"/>
          <w:bCs w:val="false"/>
          <w:i w:val="false"/>
          <w:iCs w:val="false"/>
          <w:color w:val="000000"/>
          <w:sz w:val="24"/>
          <w:szCs w:val="24"/>
        </w:rPr>
        <w:t xml:space="preserve">Project HealthSec was a programme that required sustained effort from every part of the organisation over 14 months. The following individuals made the outcome possible:</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Vikram Sundaram (CISO) — programme technical leadership, risk oversight, and the discipline to ensure the ISMS was operationally genuine rather than documentationally adequate.</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Meera Iyer (ISMS Manager) — programme management, documentation, GRC coordination, and the institutional knowledge that kept 92 documents consistent and traceable across 10 phases.</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Neha Choudhury (SOC Manager) — embedded the incident response procedure into SOC practice, ran the October 2026 tabletop exercise, and produced the phishing simulation results that demonstrated a genuine security culture shift.</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Sana Al Farsi (Head of Cloud Infrastructure) — implemented the technical controls (Object Lock, KMS, Sentinel, cert-manager), sat and passed the AZ-500 examination ahead of the certification target, and delivered clean live demonstrations of every cloud control at Stage 2.</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Advait Deshmukh (VP Engineering) — implemented SDLC controls (branch protection, GHAS, Kubernetes PSS) and made them operational, not decorative.</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Priya Subramaniam (Head of HR) — delivered the all-staff awareness programme from 0% to 96.3%, coordinated the AZ-500 renewal, and restructured the certificate register to prevent any future lapse.</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Omar Al Mansoori (Head of Legal) — provided the dual-jurisdiction regulatory analysis that underpins MediSync's CERT-In, DPDP Act, and UAE PDPL compliance posture.</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The Steering Committee — Farhan Ahmed (COO), Rajesh Menon (CFO), Ridhima Kapoor (CTO), and the full executive team — for attending management reviews, making decisions, and providing the resources the programme needed.</w:t>
      </w:r>
    </w:p>
    <w:p>
      <w:pPr>
        <w:spacing w:after="120" w:before="60"/>
        <w:jc w:val="left"/>
      </w:pPr>
      <w:r>
        <w:rPr>
          <w:rFonts w:ascii="Aptos" w:cs="Aptos" w:eastAsia="Aptos" w:hAnsi="Aptos"/>
          <w:b w:val="false"/>
          <w:bCs w:val="false"/>
          <w:i/>
          <w:iCs/>
          <w:color w:val="000000"/>
          <w:sz w:val="24"/>
          <w:szCs w:val="24"/>
        </w:rPr>
        <w:t xml:space="preserve">The external audit lead (IRCA-registered ISO 27001 Lead Auditor) who conducted Audits 1 and 2 contributed rigour and independence to the programme that the internal team could not provide for itself. The finding of genuine nonconformities at the internal audit — and the corrections that followed — made Stage 2 possible.</w:t>
      </w:r>
    </w:p>
    <w:p>
      <w:r>
        <w:br w:type="page"/>
      </w:r>
    </w:p>
    <w:p>
      <w:pPr>
        <w:pBdr>
          <w:top w:val="thick" w:color="1F3864" w:sz="8"/>
        </w:pBdr>
        <w:spacing w:after="40" w:before="200"/>
        <w:jc w:val="left"/>
      </w:pPr>
      <w:r>
        <w:rPr>
          <w:rFonts w:ascii="Aptos" w:cs="Aptos" w:eastAsia="Aptos" w:hAnsi="Aptos"/>
          <w:b w:val="false"/>
          <w:bCs w:val="false"/>
          <w:i w:val="false"/>
          <w:iCs w:val="false"/>
          <w:color w:val="000000"/>
          <w:sz w:val="4"/>
          <w:szCs w:val="4"/>
        </w:rPr>
        <w:t xml:space="preserve"/>
      </w:r>
    </w:p>
    <w:p>
      <w:pPr>
        <w:spacing w:after="80" w:before="0"/>
        <w:jc w:val="left"/>
      </w:pPr>
      <w:r>
        <w:rPr>
          <w:rFonts w:ascii="Aptos" w:cs="Aptos" w:eastAsia="Aptos" w:hAnsi="Aptos"/>
          <w:b w:val="false"/>
          <w:bCs w:val="false"/>
          <w:i w:val="false"/>
          <w:iCs w:val="false"/>
          <w:color w:val="000000"/>
          <w:sz w:val="24"/>
          <w:szCs w:val="24"/>
        </w:rPr>
        <w:t xml:space="preserve"/>
      </w:r>
    </w:p>
    <w:p>
      <w:pPr>
        <w:spacing w:after="40"/>
        <w:jc w:val="left"/>
      </w:pPr>
      <w:r>
        <w:rPr>
          <w:rFonts w:ascii="Aptos" w:cs="Aptos" w:eastAsia="Aptos" w:hAnsi="Aptos"/>
          <w:b w:val="false"/>
          <w:bCs w:val="false"/>
          <w:i w:val="false"/>
          <w:iCs w:val="false"/>
          <w:color w:val="1F3864"/>
          <w:sz w:val="28"/>
          <w:szCs w:val="28"/>
        </w:rPr>
        <w:t xml:space="preserve">Project HealthSec is complete. The programme delivered what it set out to deliver: a genuine, independent verification that MediSync Technologies Pvt. Ltd. operates an information security management system that protects the patient data entrusted to it.</w:t>
      </w:r>
    </w:p>
    <w:p>
      <w:pPr>
        <w:spacing w:after="80" w:before="0"/>
        <w:jc w:val="left"/>
      </w:pPr>
      <w:r>
        <w:rPr>
          <w:rFonts w:ascii="Aptos" w:cs="Aptos" w:eastAsia="Aptos" w:hAnsi="Aptos"/>
          <w:b w:val="false"/>
          <w:bCs w:val="false"/>
          <w:i w:val="false"/>
          <w:iCs w:val="false"/>
          <w:color w:val="000000"/>
          <w:sz w:val="24"/>
          <w:szCs w:val="24"/>
        </w:rPr>
        <w:t xml:space="preserve"/>
      </w:r>
    </w:p>
    <w:p>
      <w:pPr>
        <w:spacing w:after="20"/>
        <w:jc w:val="left"/>
      </w:pPr>
      <w:r>
        <w:rPr>
          <w:rFonts w:ascii="Aptos" w:cs="Aptos" w:eastAsia="Aptos" w:hAnsi="Aptos"/>
          <w:b w:val="false"/>
          <w:bCs w:val="false"/>
          <w:i/>
          <w:iCs/>
          <w:color w:val="595959"/>
          <w:sz w:val="22"/>
          <w:szCs w:val="22"/>
        </w:rPr>
        <w:t xml:space="preserve">The certification is the beginning of the maintenance cycle, not the end of the work.</w:t>
      </w:r>
    </w:p>
    <w:p>
      <w:pPr>
        <w:spacing w:after="60" w:before="160"/>
        <w:jc w:val="left"/>
      </w:pPr>
      <w:r>
        <w:rPr>
          <w:rFonts w:ascii="Aptos" w:cs="Aptos" w:eastAsia="Aptos" w:hAnsi="Aptos"/>
          <w:b w:val="false"/>
          <w:bCs w:val="false"/>
          <w:i w:val="false"/>
          <w:iCs w:val="false"/>
          <w:color w:val="000000"/>
          <w:sz w:val="24"/>
          <w:szCs w:val="24"/>
        </w:rPr>
        <w:t xml:space="preserve"/>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2000"/>
        <w:gridCol w:w="3000"/>
        <w:gridCol w:w="2480"/>
      </w:tblGrid>
      <w:tr>
        <w:trPr>
          <w:cantSplit/>
          <w:tblHeader/>
        </w:trPr>
        <w:tc>
          <w:tcPr>
            <w:tcW w:type="dxa" w:w="2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Name</w:t>
            </w:r>
          </w:p>
        </w:tc>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Signature</w:t>
            </w:r>
          </w:p>
        </w:tc>
        <w:tc>
          <w:tcPr>
            <w:tcW w:type="dxa" w:w="2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Ananya Rao</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Executive Officer
MediSync Technologies Pvt. Ltd.</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______________________________</w:t>
            </w:r>
          </w:p>
        </w:tc>
        <w:tc>
          <w:tcPr>
            <w:tcW w:type="dxa" w:w="2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April 2027</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Information Security Officer
MediSync Technologies Pvt. Ltd.</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______________________________</w:t>
            </w:r>
          </w:p>
        </w:tc>
        <w:tc>
          <w:tcPr>
            <w:tcW w:type="dxa" w:w="2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April 2027</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
MediSync Technologies Pvt. Ltd.</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______________________________</w:t>
            </w:r>
          </w:p>
        </w:tc>
        <w:tc>
          <w:tcPr>
            <w:tcW w:type="dxa" w:w="2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April 2027</w:t>
            </w:r>
          </w:p>
        </w:tc>
      </w:tr>
    </w:tbl>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20"/>
        <w:szCs w:val="20"/>
      </w:rPr>
      <w:t xml:space="preserve">MediSync Technologies Pvt. Ltd.  ·  Project HealthSec Executive Summary  ·  Confidential — Board and Executive Leadership only  ·  Page </w:t>
    </w:r>
    <w:r>
      <w:rPr>
        <w:rFonts w:ascii="Aptos" w:cs="Aptos" w:eastAsia="Aptos" w:hAnsi="Aptos"/>
        <w:sz w:val="20"/>
        <w:szCs w:val="20"/>
      </w:rPr>
      <w:fldChar w:fldCharType="begin"/>
      <w:instrText xml:space="preserve">PAGE</w:instrText>
      <w:fldChar w:fldCharType="separate"/>
      <w:fldChar w:fldCharType="end"/>
    </w:r>
    <w:r>
      <w:rPr>
        <w:rFonts w:ascii="Aptos" w:cs="Aptos" w:eastAsia="Aptos" w:hAnsi="Aptos"/>
        <w:color w:val="000000"/>
        <w:sz w:val="20"/>
        <w:szCs w:val="20"/>
      </w:rPr>
      <w:t xml:space="preserve"> of </w:t>
    </w:r>
    <w:r>
      <w:rPr>
        <w:rFonts w:ascii="Aptos" w:cs="Aptos" w:eastAsia="Aptos" w:hAnsi="Apto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000000"/>
        <w:sz w:val="20"/>
        <w:szCs w:val="20"/>
      </w:rPr>
      <w:t xml:space="preserve">ISMS-CRT-005  |  Executive Summary  |  Project HealthSec  |  April 2027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ptos" w:cs="Aptos" w:eastAsia="Aptos" w:hAnsi="Aptos"/>
      <w:b/>
      <w:bCs/>
      <w:color w:val="1F3864"/>
      <w:sz w:val="34"/>
      <w:szCs w:val="34"/>
    </w:rPr>
  </w:style>
  <w:style w:type="paragraph" w:styleId="Heading2">
    <w:name w:val="Heading 2"/>
    <w:basedOn w:val="Normal"/>
    <w:next w:val="Normal"/>
    <w:qFormat/>
    <w:rPr>
      <w:rFonts w:ascii="Aptos" w:cs="Aptos" w:eastAsia="Aptos" w:hAnsi="Aptos"/>
      <w:b/>
      <w:bCs/>
      <w:color w:val="000000"/>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2026-09-07T10:24:52.223Z</dcterms:created>
  <dcterms:modified xsi:type="dcterms:W3CDTF">2026-09-07T10:24:52.234Z</dcterms:modified>
</cp:coreProperties>
</file>

<file path=docProps/custom.xml><?xml version="1.0" encoding="utf-8"?>
<Properties xmlns="http://schemas.openxmlformats.org/officeDocument/2006/custom-properties" xmlns:vt="http://schemas.openxmlformats.org/officeDocument/2006/docPropsVTypes"/>
</file>