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Aptos" w:cs="Aptos" w:eastAsia="Aptos" w:hAnsi="Aptos"/>
          <w:b/>
          <w:bCs/>
          <w:i w:val="false"/>
          <w:iCs w:val="false"/>
          <w:color w:val="1F3864"/>
          <w:sz w:val="32"/>
          <w:szCs w:val="32"/>
        </w:rPr>
        <w:t xml:space="preserve">MediSync Technologies Pvt. Ltd.</w:t>
      </w:r>
    </w:p>
    <w:p>
      <w:pPr>
        <w:pBdr>
          <w:bottom w:val="thick" w:color="1F3864" w:sz="8"/>
        </w:pBdr>
        <w:spacing w:after="0" w:before="10"/>
      </w:pPr>
      <w:r>
        <w:rPr>
          <w:rFonts w:ascii="Aptos" w:cs="Aptos" w:eastAsia="Aptos" w:hAnsi="Aptos"/>
          <w:b w:val="false"/>
          <w:bCs w:val="false"/>
          <w:i w:val="false"/>
          <w:iCs w:val="false"/>
          <w:color w:val="595959"/>
          <w:sz w:val="22"/>
          <w:szCs w:val="22"/>
        </w:rPr>
        <w:t xml:space="preserve">Prestige Tech Park, Tower B, 12th Floor · Bengaluru 560103</w:t>
      </w:r>
    </w:p>
    <w:p>
      <w:pPr>
        <w:spacing w:after="120" w:before="0"/>
        <w:jc w:val="left"/>
      </w:pPr>
      <w:r>
        <w:rPr>
          <w:rFonts w:ascii="Aptos" w:cs="Aptos" w:eastAsia="Aptos" w:hAnsi="Aptos"/>
          <w:b w:val="false"/>
          <w:bCs w:val="false"/>
          <w:i w:val="false"/>
          <w:iCs w:val="false"/>
          <w:color w:val="000000"/>
          <w:sz w:val="24"/>
          <w:szCs w:val="24"/>
        </w:rPr>
        <w:t xml:space="preserve"/>
      </w:r>
    </w:p>
    <w:p>
      <w:pPr>
        <w:spacing w:after="40"/>
        <w:jc w:val="left"/>
      </w:pPr>
      <w:r>
        <w:rPr>
          <w:rFonts w:ascii="Aptos" w:cs="Aptos" w:eastAsia="Aptos" w:hAnsi="Aptos"/>
          <w:b/>
          <w:bCs/>
          <w:i w:val="false"/>
          <w:iCs w:val="false"/>
          <w:color w:val="1F3864"/>
          <w:sz w:val="48"/>
          <w:szCs w:val="48"/>
        </w:rPr>
        <w:t xml:space="preserve">Project Closure Report</w:t>
      </w:r>
    </w:p>
    <w:p>
      <w:pPr>
        <w:spacing w:after="60"/>
        <w:jc w:val="left"/>
      </w:pPr>
      <w:r>
        <w:rPr>
          <w:rFonts w:ascii="Aptos" w:cs="Aptos" w:eastAsia="Aptos" w:hAnsi="Aptos"/>
          <w:b w:val="false"/>
          <w:bCs w:val="false"/>
          <w:i w:val="false"/>
          <w:iCs w:val="false"/>
          <w:color w:val="595959"/>
          <w:sz w:val="30"/>
          <w:szCs w:val="30"/>
        </w:rPr>
        <w:t xml:space="preserve">Project HealthSec — ISO/IEC 27001:2022 ISMS Implementation</w:t>
      </w:r>
    </w:p>
    <w:p>
      <w:pPr>
        <w:spacing w:after="200"/>
        <w:jc w:val="left"/>
      </w:pPr>
      <w:r>
        <w:rPr>
          <w:rFonts w:ascii="Aptos" w:cs="Aptos" w:eastAsia="Aptos" w:hAnsi="Aptos"/>
          <w:b w:val="false"/>
          <w:bCs w:val="false"/>
          <w:i/>
          <w:iCs/>
          <w:color w:val="595959"/>
          <w:sz w:val="22"/>
          <w:szCs w:val="22"/>
        </w:rPr>
        <w:t xml:space="preserve">ISMS-CRT-006  ·  April 2027  ·  Prepared by: Meera Iyer, ISMS Manager</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Programme code</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Project HealthSec</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Programme period</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February 2026 – April 2027  (14 months, 3 weeks)</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Objective</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Achieve ISO/IEC 27001:2022 initial certification for MediSync's ISMS covering all 8 products, 4 locations, and 2 cloud regions</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Objective achieved?</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certificate issued 14 April 2027  |  Certificate No. MST-ISO27K-2027-0841</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Programme budget (consulting)</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₹1.71 Cr (approved)  |  Delivered on budget</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Programme sponsor</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 CEO</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Programme manager</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 (IRCA-qualified Lead Implementer)</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lead</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CISO</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Closure date</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April 2027</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Closure authorised by</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 (CEO) + Vikram Sundaram (CISO) + Meera Iyer (ISMS Manager)</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What happens next</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ISMS transitions to ongoing operation. Responsibility: ISMS Manager. Oversight: Steering Committee. First surveillance audit: December 2027.</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distribution: Executive leadership, Steering Committee, ISMS Manager, CISO</w:t>
            </w:r>
          </w:p>
        </w:tc>
      </w:tr>
    </w:tbl>
    <w:p>
      <w:r>
        <w:br w:type="page"/>
      </w:r>
    </w:p>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00" w:before="280"/>
      </w:pPr>
      <w:r>
        <w:rPr>
          <w:rFonts w:ascii="Aptos" w:cs="Aptos" w:eastAsia="Aptos" w:hAnsi="Aptos"/>
          <w:b/>
          <w:bCs/>
          <w:i w:val="false"/>
          <w:iCs w:val="false"/>
          <w:color w:val="000000"/>
          <w:sz w:val="34"/>
          <w:szCs w:val="34"/>
        </w:rPr>
        <w:t xml:space="preserve">1. Project Closure Declaration</w:t>
      </w:r>
    </w:p>
    <w:p>
      <w:pPr>
        <w:spacing w:after="120" w:before="0"/>
        <w:jc w:val="left"/>
      </w:pPr>
      <w:r>
        <w:rPr>
          <w:rFonts w:ascii="Aptos" w:cs="Aptos" w:eastAsia="Aptos" w:hAnsi="Aptos"/>
          <w:b w:val="false"/>
          <w:bCs w:val="false"/>
          <w:i w:val="false"/>
          <w:iCs w:val="false"/>
          <w:color w:val="000000"/>
          <w:sz w:val="24"/>
          <w:szCs w:val="24"/>
        </w:rPr>
        <w:t xml:space="preserve">Project HealthSec is formally closed as of 30 April 2027. The programme has achieved its stated objective — ISO/IEC 27001:2022 initial certification for MediSync Technologies Pvt. Ltd. — within the approved timeline and budget.</w:t>
      </w:r>
    </w:p>
    <w:p>
      <w:pPr>
        <w:spacing w:after="40" w:before="0"/>
        <w:jc w:val="left"/>
      </w:pPr>
      <w:r>
        <w:rPr>
          <w:rFonts w:ascii="Aptos" w:cs="Aptos" w:eastAsia="Aptos" w:hAnsi="Aptos"/>
          <w:b w:val="false"/>
          <w:bCs w:val="false"/>
          <w:i w:val="false"/>
          <w:iCs w:val="false"/>
          <w:color w:val="000000"/>
          <w:sz w:val="24"/>
          <w:szCs w:val="24"/>
        </w:rPr>
        <w:t xml:space="preserve"/>
      </w:r>
    </w:p>
    <w:p>
      <w:pPr>
        <w:pBdr>
          <w:top w:val="thick" w:color="375623" w:sz="16"/>
          <w:bottom w:val="thick" w:color="375623" w:sz="16"/>
          <w:left w:val="thick" w:color="375623" w:sz="16"/>
          <w:right w:val="thick" w:color="375623" w:sz="16"/>
        </w:pBdr>
        <w:shd w:fill="E2EFDA" w:color="auto" w:val="clear"/>
        <w:spacing w:after="80" w:before="80"/>
        <w:ind w:left="240" w:right="240"/>
      </w:pPr>
      <w:r>
        <w:rPr>
          <w:rFonts w:ascii="Aptos" w:cs="Aptos" w:eastAsia="Aptos" w:hAnsi="Aptos"/>
          <w:b/>
          <w:bCs/>
          <w:i w:val="false"/>
          <w:iCs w:val="false"/>
          <w:color w:val="375623"/>
          <w:sz w:val="28"/>
          <w:szCs w:val="28"/>
        </w:rPr>
        <w:t xml:space="preserve">PROJECT HEALTHSEC — FORMALLY CLOSED  |  30 April 2027</w:t>
      </w:r>
    </w:p>
    <w:p>
      <w:pPr>
        <w:spacing w:after="80" w:before="0"/>
        <w:jc w:val="left"/>
      </w:pPr>
      <w:r>
        <w:rPr>
          <w:rFonts w:ascii="Aptos" w:cs="Aptos" w:eastAsia="Aptos" w:hAnsi="Aptos"/>
          <w:b w:val="false"/>
          <w:bCs w:val="false"/>
          <w:i w:val="false"/>
          <w:iCs w:val="false"/>
          <w:color w:val="000000"/>
          <w:sz w:val="24"/>
          <w:szCs w:val="24"/>
        </w:rPr>
        <w:t xml:space="preserve"/>
      </w:r>
    </w:p>
    <w:p>
      <w:pPr>
        <w:spacing w:after="120" w:before="0"/>
        <w:jc w:val="left"/>
      </w:pPr>
      <w:r>
        <w:rPr>
          <w:rFonts w:ascii="Aptos" w:cs="Aptos" w:eastAsia="Aptos" w:hAnsi="Aptos"/>
          <w:b w:val="false"/>
          <w:bCs w:val="false"/>
          <w:i/>
          <w:iCs/>
          <w:color w:val="000000"/>
          <w:sz w:val="24"/>
          <w:szCs w:val="24"/>
        </w:rPr>
        <w:t xml:space="preserve">The closure of Project HealthSec does not mean the ISMS programme ends. It means the implementation phase is complete and the ISMS transitions from a time-bounded project to an ongoing operational function of MediSync. The Steering Committee, under the chairship of the CEO, assumes responsibility for the ISMS going forward, with the ISMS Manager as the day-to-day operational lead.</w:t>
      </w:r>
    </w:p>
    <w:p>
      <w:pPr>
        <w:pStyle w:val="Heading1"/>
        <w:spacing w:after="100" w:before="280"/>
      </w:pPr>
      <w:r>
        <w:rPr>
          <w:rFonts w:ascii="Aptos" w:cs="Aptos" w:eastAsia="Aptos" w:hAnsi="Aptos"/>
          <w:b/>
          <w:bCs/>
          <w:i w:val="false"/>
          <w:iCs w:val="false"/>
          <w:color w:val="000000"/>
          <w:sz w:val="34"/>
          <w:szCs w:val="34"/>
        </w:rPr>
        <w:t xml:space="preserve">2. Objectives Achievement Assessment</w:t>
      </w:r>
    </w:p>
    <w:p>
      <w:pPr>
        <w:spacing w:after="120" w:before="0"/>
        <w:jc w:val="left"/>
      </w:pPr>
      <w:r>
        <w:rPr>
          <w:rFonts w:ascii="Aptos" w:cs="Aptos" w:eastAsia="Aptos" w:hAnsi="Aptos"/>
          <w:b w:val="false"/>
          <w:bCs w:val="false"/>
          <w:i w:val="false"/>
          <w:iCs w:val="false"/>
          <w:color w:val="000000"/>
          <w:sz w:val="24"/>
          <w:szCs w:val="24"/>
        </w:rPr>
        <w:t xml:space="preserve">The following table assesses each programme objective against the outcome achieved.</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4400"/>
        <w:gridCol w:w="3680"/>
      </w:tblGrid>
      <w:tr>
        <w:trPr>
          <w:cantSplit/>
          <w:tblHeader/>
        </w:trPr>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Objective</w:t>
            </w:r>
          </w:p>
        </w:tc>
        <w:tc>
          <w:tcPr>
            <w:tcW w:type="dxa" w:w="4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Target</w:t>
            </w:r>
          </w:p>
        </w:tc>
        <w:tc>
          <w:tcPr>
            <w:tcW w:type="dxa" w:w="3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Outcome</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M-01: ISMS scope defined</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Scope document approved by CEO by April 2026</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ACHIEVED. ISMS-INI-011 approved February 2026. Scope confirmed unchanged at Stage 1 (Feb 2027) and Stage 2 (Mar 2027).</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M-02: Risk assessment complete</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21 risks assessed, treatment plans approved, by June 2026</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ACHIEVED. 21 risks assessed May 2026. Phase 5 reassessment October 2026. 0 HIGH residual risks at certification.</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M-03: SoA complete</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93 Annex A controls addressed in SoA by July 2026</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ACHIEVED. ISMS-PLN-006 completed May 2026. 89 FI, 0 NI at certification. 2 IP with accepted timelines.</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M-04: Operational procedures live</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9 operational procedure domains operational by October 2026</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ACHIEVED. ISMS-OPS-001 through OPS-011 all operational. Tabletop exercise confirmed IR procedure embedded. DR test confirmed recovery capabilities.</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M-05: Internal audit passed</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major NCRs at Audit 1 by December 2026</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ACHIEVED. 0 major NCRs. 3 minor NCRs — all corrected by January 2027. Audit 2 (February 2027) confirmed all effective.</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M-06: Management review completed</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 management review by December 2026 per Clause 9.3</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ACHIEVED. December 2026 management review: CEO-chaired, all 11 mandatory inputs addressed, Stage 1 proceed decision formally recorded.</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M-07: Stage 1 passed</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Positive Stage 1 recommendation by February 2027</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ACHIEVED. PROCEED recommendation issued 18 February 2027. Both Stage 1 conditions resolved 28 February 2027.</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M-08: Awareness programme ≥95%</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All-staff completion ≥95% by March 2027</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ACHIEVED. 96.3% completion at Stage 2 (March 2027). Procurement appointment resolved structural gap.</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M-09: Stage 2 passed</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major NCRs at Stage 2 by April 2027</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ACHIEVED. 0 major NCRs. 0 minor NCRs. 5 positive findings. Certification recommended 21 March 2027. Condition (A5.36) satisfied 31 March 2027.</w:t>
            </w:r>
          </w:p>
        </w:tc>
      </w:tr>
      <w:tr>
        <w:trPr>
          <w:cantSplit/>
        </w:trPr>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M-10: Certificate issued</w:t>
            </w:r>
          </w:p>
        </w:tc>
        <w:tc>
          <w:tcPr>
            <w:tcW w:type="dxa" w:w="4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certificate by April 2027</w:t>
            </w:r>
          </w:p>
        </w:tc>
        <w:tc>
          <w:tcPr>
            <w:tcW w:type="dxa" w:w="3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ACHIEVED. Certificate issued 14 April 2027. Certificate No. MST-ISO27K-2027-0841. Valid to 13 April 2030.</w:t>
            </w:r>
          </w:p>
        </w:tc>
      </w:tr>
      <w:tr>
        <w:trPr>
          <w:cantSplit/>
        </w:trPr>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Budget</w:t>
            </w:r>
          </w:p>
        </w:tc>
        <w:tc>
          <w:tcPr>
            <w:tcW w:type="dxa" w:w="4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₹1.71 Cr consulting engagement, no overrun</w:t>
            </w:r>
          </w:p>
        </w:tc>
        <w:tc>
          <w:tcPr>
            <w:tcW w:type="dxa" w:w="3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ACHIEVED. Programme delivered on budget within the approved consulting engagement.</w:t>
            </w:r>
          </w:p>
        </w:tc>
      </w:tr>
    </w:tbl>
    <w:p>
      <w:pPr>
        <w:pStyle w:val="Heading1"/>
        <w:spacing w:after="100" w:before="280"/>
      </w:pPr>
      <w:r>
        <w:rPr>
          <w:rFonts w:ascii="Aptos" w:cs="Aptos" w:eastAsia="Aptos" w:hAnsi="Aptos"/>
          <w:b/>
          <w:bCs/>
          <w:i w:val="false"/>
          <w:iCs w:val="false"/>
          <w:color w:val="000000"/>
          <w:sz w:val="34"/>
          <w:szCs w:val="34"/>
        </w:rPr>
        <w:t xml:space="preserve">3. Programme Deliverables Register</w:t>
      </w:r>
    </w:p>
    <w:p>
      <w:pPr>
        <w:spacing w:after="120" w:before="0"/>
        <w:jc w:val="left"/>
      </w:pPr>
      <w:r>
        <w:rPr>
          <w:rFonts w:ascii="Aptos" w:cs="Aptos" w:eastAsia="Aptos" w:hAnsi="Aptos"/>
          <w:b w:val="false"/>
          <w:bCs w:val="false"/>
          <w:i w:val="false"/>
          <w:iCs w:val="false"/>
          <w:color w:val="000000"/>
          <w:sz w:val="24"/>
          <w:szCs w:val="24"/>
        </w:rPr>
        <w:t xml:space="preserve">All 92 programme documents are available in the GRC Repository (Microsoft SharePoint). The following summarises the deliverables by phase.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2400"/>
        <w:gridCol w:w="1600"/>
        <w:gridCol w:w="1600"/>
        <w:gridCol w:w="3280"/>
      </w:tblGrid>
      <w:tr>
        <w:trPr>
          <w:cantSplit/>
          <w:tblHeader/>
        </w:trPr>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Phase</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Series</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Documents</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Format</w:t>
            </w:r>
          </w:p>
        </w:tc>
        <w:tc>
          <w:tcPr>
            <w:tcW w:type="dxa" w:w="3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Key deliverables</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 — Initiation</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ISMS-INI-001 to INI-016</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16</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DOCX / XLSX</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Context analysis, scope, legal register, interested parties, gap assessment, ISMS charter, programme plan</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2 — Leadership</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ISMS-LDR-001 to LDR-009</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DOCX</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 Policy, IS Objectives, CISO appointment, Steering Committee charter, roles register</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 Planning</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ISMS-PLN-001 to PLN-012</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DOCX / XLSX</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methodology, risk register (21 risks), risk treatment plan, SoA (93 controls)</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4 — Support</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ISMS-SUP-001 to SUP-010</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DOCX / XLSX</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Training records, awareness programme, competence register, document register, records retention</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Operation</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ISMS-OPS-001 to OPS-011</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11</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DOCX / XLSX</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Operational procedures (9 domains), control evidence log, incident register, vendor assessments</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6 — Performance Evaluation</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ISMS-PEV-001 to PEV-009</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DOCX / XLSX</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Monitoring plan, KPI log, audit programme, Audit 1 report, management review minutes and record</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7 — Improvement</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ISMS-IMP-001 to IMP-007</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7</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DOCX / XLSX</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NCR register, CAR forms, RCA reports, corrective action tracker, effectiveness verification, CI log, lessons learned</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8 — Stage 1</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ISMS-ST1-001 to ST1-008</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DOCX / XLSX</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application, Stage 1 audit plan, readiness checklist, meeting minutes, findings report, NCR register, CA responses</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9 — Stage 2</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ISMS-ST2-001 to ST2-007</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7</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DOCX / XLSX</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audit plan, meeting minutes, evidence log, findings report, CA evidence, certification recommendation report</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10 — Certification</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ISMS-CRT-001 to CRT-006</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DOCX / XLSX / HTML</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decision record, ISO 27001 certificate, surveillance schedule, dashboard suite, executive summary, closure report (this document)</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TOTAL</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phases</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95</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92 ISMS programme documents + 3 certification package documents</w:t>
            </w:r>
          </w:p>
        </w:tc>
      </w:tr>
    </w:tbl>
    <w:p>
      <w:pPr>
        <w:pStyle w:val="Heading1"/>
        <w:spacing w:after="100" w:before="280"/>
      </w:pPr>
      <w:r>
        <w:rPr>
          <w:rFonts w:ascii="Aptos" w:cs="Aptos" w:eastAsia="Aptos" w:hAnsi="Aptos"/>
          <w:b/>
          <w:bCs/>
          <w:i w:val="false"/>
          <w:iCs w:val="false"/>
          <w:color w:val="000000"/>
          <w:sz w:val="34"/>
          <w:szCs w:val="34"/>
        </w:rPr>
        <w:t xml:space="preserve">4. Programme Performance Review</w:t>
      </w:r>
    </w:p>
    <w:p>
      <w:pPr>
        <w:pStyle w:val="Heading2"/>
        <w:spacing w:after="80" w:before="200"/>
      </w:pPr>
      <w:r>
        <w:rPr>
          <w:rFonts w:ascii="Aptos" w:cs="Aptos" w:eastAsia="Aptos" w:hAnsi="Aptos"/>
          <w:b/>
          <w:bCs/>
          <w:i w:val="false"/>
          <w:iCs w:val="false"/>
          <w:color w:val="000000"/>
          <w:sz w:val="28"/>
          <w:szCs w:val="28"/>
        </w:rPr>
        <w:t xml:space="preserve">4.1 Schedule performance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3200"/>
        <w:gridCol w:w="44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Milestone</w:t>
            </w:r>
          </w:p>
        </w:tc>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Planned</w:t>
            </w:r>
          </w:p>
        </w:tc>
        <w:tc>
          <w:tcPr>
            <w:tcW w:type="dxa" w:w="4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Actual</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Programme launch</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February 2026</w:t>
            </w:r>
          </w:p>
        </w:tc>
        <w:tc>
          <w:tcPr>
            <w:tcW w:type="dxa" w:w="4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February 2026 — on time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assessment and SoA</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May 2026</w:t>
            </w:r>
          </w:p>
        </w:tc>
        <w:tc>
          <w:tcPr>
            <w:tcW w:type="dxa" w:w="4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May 2026 — on time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Operational procedures live</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October 2026</w:t>
            </w:r>
          </w:p>
        </w:tc>
        <w:tc>
          <w:tcPr>
            <w:tcW w:type="dxa" w:w="4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October 2026 — on time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1</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December 2026</w:t>
            </w:r>
          </w:p>
        </w:tc>
        <w:tc>
          <w:tcPr>
            <w:tcW w:type="dxa" w:w="4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December 2026 — on time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1 application</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January 2027</w:t>
            </w:r>
          </w:p>
        </w:tc>
        <w:tc>
          <w:tcPr>
            <w:tcW w:type="dxa" w:w="4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January 2027 — on time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1 audit</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February 2027</w:t>
            </w:r>
          </w:p>
        </w:tc>
        <w:tc>
          <w:tcPr>
            <w:tcW w:type="dxa" w:w="4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10–11 February 2027 — on time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audit</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March 2027</w:t>
            </w:r>
          </w:p>
        </w:tc>
        <w:tc>
          <w:tcPr>
            <w:tcW w:type="dxa" w:w="4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17–21 March 2027 — on time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issued</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April 2027</w:t>
            </w:r>
          </w:p>
        </w:tc>
        <w:tc>
          <w:tcPr>
            <w:tcW w:type="dxa" w:w="4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 April 2027 — on time</w:t>
            </w:r>
          </w:p>
        </w:tc>
      </w:tr>
    </w:tbl>
    <w:p>
      <w:pPr>
        <w:spacing w:after="120" w:before="60"/>
        <w:jc w:val="left"/>
      </w:pPr>
      <w:r>
        <w:rPr>
          <w:rFonts w:ascii="Aptos" w:cs="Aptos" w:eastAsia="Aptos" w:hAnsi="Aptos"/>
          <w:b w:val="false"/>
          <w:bCs w:val="false"/>
          <w:i w:val="false"/>
          <w:iCs w:val="false"/>
          <w:color w:val="000000"/>
          <w:sz w:val="24"/>
          <w:szCs w:val="24"/>
        </w:rPr>
        <w:t xml:space="preserve">All programme milestones were met on schedule. There were no significant schedule variances. The most significant scheduling risk during the programme was the availability of the certification body for Stage 2 in March 2027 — this was managed by confirming Stage 2 dates immediately after the Stage 1 closing meeting (February 2027).</w:t>
      </w:r>
    </w:p>
    <w:p>
      <w:pPr>
        <w:pStyle w:val="Heading2"/>
        <w:spacing w:after="80" w:before="200"/>
      </w:pPr>
      <w:r>
        <w:rPr>
          <w:rFonts w:ascii="Aptos" w:cs="Aptos" w:eastAsia="Aptos" w:hAnsi="Aptos"/>
          <w:b/>
          <w:bCs/>
          <w:i w:val="false"/>
          <w:iCs w:val="false"/>
          <w:color w:val="000000"/>
          <w:sz w:val="28"/>
          <w:szCs w:val="28"/>
        </w:rPr>
        <w:t xml:space="preserve">4.2 Budget performance</w:t>
      </w:r>
    </w:p>
    <w:p>
      <w:pPr>
        <w:spacing w:after="120" w:before="0"/>
        <w:jc w:val="left"/>
      </w:pPr>
      <w:r>
        <w:rPr>
          <w:rFonts w:ascii="Aptos" w:cs="Aptos" w:eastAsia="Aptos" w:hAnsi="Aptos"/>
          <w:b w:val="false"/>
          <w:bCs w:val="false"/>
          <w:i w:val="false"/>
          <w:iCs w:val="false"/>
          <w:color w:val="000000"/>
          <w:sz w:val="24"/>
          <w:szCs w:val="24"/>
        </w:rPr>
        <w:t xml:space="preserve">The programme was delivered on budget within the approved consulting engagement of ₹1.71 Cr. No budget overrun occurred. No supplementary budget requests were made to the Steering Committee. The CFO confirmed budget closure at the April 2027 Steering Committee.</w:t>
      </w:r>
    </w:p>
    <w:p>
      <w:pPr>
        <w:pStyle w:val="Heading2"/>
        <w:spacing w:after="80" w:before="200"/>
      </w:pPr>
      <w:r>
        <w:rPr>
          <w:rFonts w:ascii="Aptos" w:cs="Aptos" w:eastAsia="Aptos" w:hAnsi="Aptos"/>
          <w:b/>
          <w:bCs/>
          <w:i w:val="false"/>
          <w:iCs w:val="false"/>
          <w:color w:val="000000"/>
          <w:sz w:val="28"/>
          <w:szCs w:val="28"/>
        </w:rPr>
        <w:t xml:space="preserve">4.3 Quality outcomes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Quality metric</w:t>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Result</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1 — major NCRs</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(target: 0) ✓</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2 — NCR effectiveness</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3 corrective actions confirmed effective ✓</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 major NCRs</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(target: 0) ✓</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 minor NCRs</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(target: 0) ✓</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 positive findings</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(lead auditor assessed above average for organisation of this size) ✓</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Stage 2 — knowledge checks</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5/5 PASS (5 different role-holders, all without document reference) ✓</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SoA evidence spot-check</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15/15 evidence items retrieved independently (0 failures) ✓</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Awareness completion</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96.3% (target ≥95%) ✓</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simulation reduction</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62.4% (target ≥50%) ✓</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Penetration test — Critical findings</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Penetration test — High findings remediated</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 before Stage 2 ✓</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Certificate condition (A5.36)</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Evidence submitted 31 March 2027 — within deadline ✓</w:t>
            </w:r>
          </w:p>
        </w:tc>
      </w:tr>
    </w:tbl>
    <w:p>
      <w:pPr>
        <w:pStyle w:val="Heading2"/>
        <w:spacing w:after="80" w:before="200"/>
      </w:pPr>
      <w:r>
        <w:rPr>
          <w:rFonts w:ascii="Aptos" w:cs="Aptos" w:eastAsia="Aptos" w:hAnsi="Aptos"/>
          <w:b/>
          <w:bCs/>
          <w:i w:val="false"/>
          <w:iCs w:val="false"/>
          <w:color w:val="000000"/>
          <w:sz w:val="28"/>
          <w:szCs w:val="28"/>
        </w:rPr>
        <w:t xml:space="preserve">4.4 Risks that materialised</w:t>
      </w:r>
    </w:p>
    <w:p>
      <w:pPr>
        <w:spacing w:after="120" w:before="0"/>
        <w:jc w:val="left"/>
      </w:pPr>
      <w:r>
        <w:rPr>
          <w:rFonts w:ascii="Aptos" w:cs="Aptos" w:eastAsia="Aptos" w:hAnsi="Aptos"/>
          <w:b w:val="false"/>
          <w:bCs w:val="false"/>
          <w:i w:val="false"/>
          <w:iCs w:val="false"/>
          <w:color w:val="000000"/>
          <w:sz w:val="24"/>
          <w:szCs w:val="24"/>
        </w:rPr>
        <w:t xml:space="preserve">The following programme risks materialised and were managed: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NCR-001 (A5.8 evidence gap): the OPS-002 completion process lacked a retrieval verification step, allowing a control to be marked as implemented with a non-retrievable evidence path. This was identified at Audit 1 and corrected. The corrective action also introduced a systemic fix (retrieval verification guidance) that prevented recurrence across all 88 FI entries.</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NCR-002 (AZ-500 lapse): a certification lapse went undetected for 16 months because the Certificate Register had no renewal ownership or trigger mechanism. This was identified at Audit 1 and corrected. The AZ-500 was renewed (28 January 2027) and the register was restructured.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NCR-003 (unapproved change): an IT Operations team member made a production security group change without prior approval during a connectivity incident, not knowing an emergency change process existed. This was identified at Audit 1 and corrected. The process was briefed and a cross-reference was added to the operational procedure at the point of need.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S2-C002 (A6.3 evidence document): the certification body's Stage 1 spot-check found that the OPS-002 A6.3 entry cited an awareness platform URL rather than a GRC-resident evidence document. This was a late-identified instance of the same root cause as NCR-001. It was corrected before Stage 2.</w:t>
      </w:r>
    </w:p>
    <w:p>
      <w:pPr>
        <w:spacing w:after="120" w:before="60"/>
        <w:jc w:val="left"/>
      </w:pPr>
      <w:r>
        <w:rPr>
          <w:rFonts w:ascii="Aptos" w:cs="Aptos" w:eastAsia="Aptos" w:hAnsi="Aptos"/>
          <w:b w:val="false"/>
          <w:bCs w:val="false"/>
          <w:i/>
          <w:iCs/>
          <w:color w:val="000000"/>
          <w:sz w:val="24"/>
          <w:szCs w:val="24"/>
        </w:rPr>
        <w:t xml:space="preserve">In each case, the risk materialised as a finding rather than a programme-threatening event. The ISMS's own corrective action process handled all four — this is the system working as designed.</w:t>
      </w:r>
    </w:p>
    <w:p>
      <w:pPr>
        <w:pStyle w:val="Heading1"/>
        <w:spacing w:after="100" w:before="280"/>
      </w:pPr>
      <w:r>
        <w:rPr>
          <w:rFonts w:ascii="Aptos" w:cs="Aptos" w:eastAsia="Aptos" w:hAnsi="Aptos"/>
          <w:b/>
          <w:bCs/>
          <w:i w:val="false"/>
          <w:iCs w:val="false"/>
          <w:color w:val="000000"/>
          <w:sz w:val="34"/>
          <w:szCs w:val="34"/>
        </w:rPr>
        <w:t xml:space="preserve">5. Programme Lessons Learned</w:t>
      </w:r>
    </w:p>
    <w:p>
      <w:pPr>
        <w:spacing w:after="120" w:before="0"/>
        <w:jc w:val="left"/>
      </w:pPr>
      <w:r>
        <w:rPr>
          <w:rFonts w:ascii="Aptos" w:cs="Aptos" w:eastAsia="Aptos" w:hAnsi="Aptos"/>
          <w:b w:val="false"/>
          <w:bCs w:val="false"/>
          <w:i w:val="false"/>
          <w:iCs w:val="false"/>
          <w:color w:val="000000"/>
          <w:sz w:val="24"/>
          <w:szCs w:val="24"/>
        </w:rPr>
        <w:t xml:space="preserve">The following lessons are drawn from the Project HealthSec programme experience. They are intended to inform future ISMS programmes at MediSync and to support the consulting partner in future engagements.</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C8990A" w:sz="4"/>
              <w:left w:val="single" w:color="C8990A" w:sz="4"/>
              <w:bottom w:val="single" w:color="C8990A" w:sz="4"/>
              <w:right w:val="none"/>
            </w:tcBorders>
            <w:shd w:fill="C8990A"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FFD966" w:sz="4"/>
              <w:left w:val="none"/>
              <w:bottom w:val="single" w:color="FFD966" w:sz="4"/>
              <w:right w:val="single" w:color="FFD966" w:sz="4"/>
            </w:tcBorders>
            <w:shd w:fill="FFF9C4" w:color="auto" w:val="clear"/>
            <w:tcMar>
              <w:top w:type="dxa" w:w="80"/>
              <w:left w:type="dxa" w:w="160"/>
              <w:bottom w:type="dxa" w:w="80"/>
              <w:right w:type="dxa" w:w="120"/>
            </w:tcMar>
          </w:tcPr>
          <w:p>
            <w:pPr>
              <w:spacing w:after="30" w:before="0"/>
            </w:pPr>
            <w:r>
              <w:rPr>
                <w:rFonts w:ascii="Aptos" w:cs="Aptos" w:eastAsia="Aptos" w:hAnsi="Aptos"/>
                <w:b/>
                <w:bCs/>
                <w:i w:val="false"/>
                <w:iCs w:val="false"/>
                <w:color w:val="7F6000"/>
                <w:sz w:val="24"/>
                <w:szCs w:val="24"/>
              </w:rPr>
              <w:t xml:space="preserve">Programme lesson PL-001: </w:t>
            </w:r>
            <w:r>
              <w:rPr>
                <w:rFonts w:ascii="Aptos" w:cs="Aptos" w:eastAsia="Aptos" w:hAnsi="Aptos"/>
                <w:b w:val="false"/>
                <w:bCs w:val="false"/>
                <w:i w:val="false"/>
                <w:iCs w:val="false"/>
                <w:color w:val="000000"/>
                <w:sz w:val="24"/>
                <w:szCs w:val="24"/>
              </w:rPr>
              <w:t xml:space="preserve">Process design that assumes human action without a verification mechanism will produce gaps. All three December 2026 NCRs shared this root cause pattern: a process relied on a person taking an undirected action (evidence filing, certificate renewal, change logging) without any trigger, ownership, or verification step. The process worked when the right person was paying attention. It failed when attention was elsewhere.</w:t>
            </w:r>
          </w:p>
          <w:p>
            <w:pPr>
              <w:spacing w:after="0" w:before="0"/>
            </w:pPr>
            <w:r>
              <w:rPr>
                <w:rFonts w:ascii="Aptos" w:cs="Aptos" w:eastAsia="Aptos" w:hAnsi="Aptos"/>
                <w:b/>
                <w:bCs/>
                <w:i/>
                <w:iCs/>
                <w:color w:val="595959"/>
                <w:sz w:val="24"/>
                <w:szCs w:val="24"/>
              </w:rPr>
              <w:t xml:space="preserve">Recommendation for future programmes: </w:t>
            </w:r>
            <w:r>
              <w:rPr>
                <w:rFonts w:ascii="Aptos" w:cs="Aptos" w:eastAsia="Aptos" w:hAnsi="Aptos"/>
                <w:b w:val="false"/>
                <w:bCs w:val="false"/>
                <w:i/>
                <w:iCs/>
                <w:color w:val="000000"/>
                <w:sz w:val="24"/>
                <w:szCs w:val="24"/>
              </w:rPr>
              <w:t xml:space="preserve">For every ISMS process that requires human action, design a trigger mechanism or verification checkpoint alongside the action itself. Do not rely on the process owner remembering. Calendar reminders, GRC report sections, and completion guidance notes are inexpensive to build and prevent expensive NCRs at audit.</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C8990A" w:sz="4"/>
              <w:left w:val="single" w:color="C8990A" w:sz="4"/>
              <w:bottom w:val="single" w:color="C8990A" w:sz="4"/>
              <w:right w:val="none"/>
            </w:tcBorders>
            <w:shd w:fill="C8990A"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FFD966" w:sz="4"/>
              <w:left w:val="none"/>
              <w:bottom w:val="single" w:color="FFD966" w:sz="4"/>
              <w:right w:val="single" w:color="FFD966" w:sz="4"/>
            </w:tcBorders>
            <w:shd w:fill="FFF9C4" w:color="auto" w:val="clear"/>
            <w:tcMar>
              <w:top w:type="dxa" w:w="80"/>
              <w:left w:type="dxa" w:w="160"/>
              <w:bottom w:type="dxa" w:w="80"/>
              <w:right w:type="dxa" w:w="120"/>
            </w:tcMar>
          </w:tcPr>
          <w:p>
            <w:pPr>
              <w:spacing w:after="30" w:before="0"/>
            </w:pPr>
            <w:r>
              <w:rPr>
                <w:rFonts w:ascii="Aptos" w:cs="Aptos" w:eastAsia="Aptos" w:hAnsi="Aptos"/>
                <w:b/>
                <w:bCs/>
                <w:i w:val="false"/>
                <w:iCs w:val="false"/>
                <w:color w:val="7F6000"/>
                <w:sz w:val="24"/>
                <w:szCs w:val="24"/>
              </w:rPr>
              <w:t xml:space="preserve">Programme lesson PL-002: </w:t>
            </w:r>
            <w:r>
              <w:rPr>
                <w:rFonts w:ascii="Aptos" w:cs="Aptos" w:eastAsia="Aptos" w:hAnsi="Aptos"/>
                <w:b w:val="false"/>
                <w:bCs w:val="false"/>
                <w:i w:val="false"/>
                <w:iCs w:val="false"/>
                <w:color w:val="000000"/>
                <w:sz w:val="24"/>
                <w:szCs w:val="24"/>
              </w:rPr>
              <w:t xml:space="preserve">Phase 5 was the most productive phase and the most fragile. Eleven documents in three months produced the operational ISMS — but the delivery pace created latent documentation completeness gaps that only became visible at audit. Two NCRs (NCR-001 and NCR-003) traced to documentation completed under time pressure without a final verification pass.</w:t>
            </w:r>
          </w:p>
          <w:p>
            <w:pPr>
              <w:spacing w:after="0" w:before="0"/>
            </w:pPr>
            <w:r>
              <w:rPr>
                <w:rFonts w:ascii="Aptos" w:cs="Aptos" w:eastAsia="Aptos" w:hAnsi="Aptos"/>
                <w:b/>
                <w:bCs/>
                <w:i/>
                <w:iCs/>
                <w:color w:val="595959"/>
                <w:sz w:val="24"/>
                <w:szCs w:val="24"/>
              </w:rPr>
              <w:t xml:space="preserve">Recommendation for future programmes: </w:t>
            </w:r>
            <w:r>
              <w:rPr>
                <w:rFonts w:ascii="Aptos" w:cs="Aptos" w:eastAsia="Aptos" w:hAnsi="Aptos"/>
                <w:b w:val="false"/>
                <w:bCs w:val="false"/>
                <w:i/>
                <w:iCs/>
                <w:color w:val="000000"/>
                <w:sz w:val="24"/>
                <w:szCs w:val="24"/>
              </w:rPr>
              <w:t xml:space="preserve">Build a "last mile verification pass" into any high-velocity delivery phase. Before accepting a documentation tranche as complete, an independent reviewer should confirm: every cited evidence path is retrievable, every cross-reference is tested in the live document, every procedure has been briefed to the right audience. The ISMS Manager adding a retrieval verification step to OPS-002 after NCR-001 was the right fix — building this habit from Phase 1 would have prevented the NCR.</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C8990A" w:sz="4"/>
              <w:left w:val="single" w:color="C8990A" w:sz="4"/>
              <w:bottom w:val="single" w:color="C8990A" w:sz="4"/>
              <w:right w:val="none"/>
            </w:tcBorders>
            <w:shd w:fill="C8990A"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FFD966" w:sz="4"/>
              <w:left w:val="none"/>
              <w:bottom w:val="single" w:color="FFD966" w:sz="4"/>
              <w:right w:val="single" w:color="FFD966" w:sz="4"/>
            </w:tcBorders>
            <w:shd w:fill="FFF9C4" w:color="auto" w:val="clear"/>
            <w:tcMar>
              <w:top w:type="dxa" w:w="80"/>
              <w:left w:type="dxa" w:w="160"/>
              <w:bottom w:type="dxa" w:w="80"/>
              <w:right w:type="dxa" w:w="120"/>
            </w:tcMar>
          </w:tcPr>
          <w:p>
            <w:pPr>
              <w:spacing w:after="30" w:before="0"/>
            </w:pPr>
            <w:r>
              <w:rPr>
                <w:rFonts w:ascii="Aptos" w:cs="Aptos" w:eastAsia="Aptos" w:hAnsi="Aptos"/>
                <w:b/>
                <w:bCs/>
                <w:i w:val="false"/>
                <w:iCs w:val="false"/>
                <w:color w:val="7F6000"/>
                <w:sz w:val="24"/>
                <w:szCs w:val="24"/>
              </w:rPr>
              <w:t xml:space="preserve">Programme lesson PL-003: </w:t>
            </w:r>
            <w:r>
              <w:rPr>
                <w:rFonts w:ascii="Aptos" w:cs="Aptos" w:eastAsia="Aptos" w:hAnsi="Aptos"/>
                <w:b w:val="false"/>
                <w:bCs w:val="false"/>
                <w:i w:val="false"/>
                <w:iCs w:val="false"/>
                <w:color w:val="000000"/>
                <w:sz w:val="24"/>
                <w:szCs w:val="24"/>
              </w:rPr>
              <w:t xml:space="preserve">The tabletop exercise (October 2026) was more valuable than the original programme plan expected. It surfaced five real procedure gaps under time pressure — including the CERT-In clock trigger error that was later confirmed by the certification body as a positive finding when corrected. If the tabletop had been scheduled after the internal audit rather than before, the five findings would have been audit findings rather than self-identified improvements.</w:t>
            </w:r>
          </w:p>
          <w:p>
            <w:pPr>
              <w:spacing w:after="0" w:before="0"/>
            </w:pPr>
            <w:r>
              <w:rPr>
                <w:rFonts w:ascii="Aptos" w:cs="Aptos" w:eastAsia="Aptos" w:hAnsi="Aptos"/>
                <w:b/>
                <w:bCs/>
                <w:i/>
                <w:iCs/>
                <w:color w:val="595959"/>
                <w:sz w:val="24"/>
                <w:szCs w:val="24"/>
              </w:rPr>
              <w:t xml:space="preserve">Recommendation for future programmes: </w:t>
            </w:r>
            <w:r>
              <w:rPr>
                <w:rFonts w:ascii="Aptos" w:cs="Aptos" w:eastAsia="Aptos" w:hAnsi="Aptos"/>
                <w:b w:val="false"/>
                <w:bCs w:val="false"/>
                <w:i/>
                <w:iCs/>
                <w:color w:val="000000"/>
                <w:sz w:val="24"/>
                <w:szCs w:val="24"/>
              </w:rPr>
              <w:t xml:space="preserve">Schedule the tabletop exercise at least 6 weeks before the internal audit. Design it to genuinely stress-test the procedure — not to demonstrate competence. A tabletop that finds nothing has probably been designed by the people who will take it.</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C8990A" w:sz="4"/>
              <w:left w:val="single" w:color="C8990A" w:sz="4"/>
              <w:bottom w:val="single" w:color="C8990A" w:sz="4"/>
              <w:right w:val="none"/>
            </w:tcBorders>
            <w:shd w:fill="C8990A"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FFD966" w:sz="4"/>
              <w:left w:val="none"/>
              <w:bottom w:val="single" w:color="FFD966" w:sz="4"/>
              <w:right w:val="single" w:color="FFD966" w:sz="4"/>
            </w:tcBorders>
            <w:shd w:fill="FFF9C4" w:color="auto" w:val="clear"/>
            <w:tcMar>
              <w:top w:type="dxa" w:w="80"/>
              <w:left w:type="dxa" w:w="160"/>
              <w:bottom w:type="dxa" w:w="80"/>
              <w:right w:type="dxa" w:w="120"/>
            </w:tcMar>
          </w:tcPr>
          <w:p>
            <w:pPr>
              <w:spacing w:after="30" w:before="0"/>
            </w:pPr>
            <w:r>
              <w:rPr>
                <w:rFonts w:ascii="Aptos" w:cs="Aptos" w:eastAsia="Aptos" w:hAnsi="Aptos"/>
                <w:b/>
                <w:bCs/>
                <w:i w:val="false"/>
                <w:iCs w:val="false"/>
                <w:color w:val="7F6000"/>
                <w:sz w:val="24"/>
                <w:szCs w:val="24"/>
              </w:rPr>
              <w:t xml:space="preserve">Programme lesson PL-004: </w:t>
            </w:r>
            <w:r>
              <w:rPr>
                <w:rFonts w:ascii="Aptos" w:cs="Aptos" w:eastAsia="Aptos" w:hAnsi="Aptos"/>
                <w:b w:val="false"/>
                <w:bCs w:val="false"/>
                <w:i w:val="false"/>
                <w:iCs w:val="false"/>
                <w:color w:val="000000"/>
                <w:sz w:val="24"/>
                <w:szCs w:val="24"/>
              </w:rPr>
              <w:t xml:space="preserve">The phishing simulation programme produced the most commercially legible evidence of security culture change in the entire programme. The 62.4% click-rate reduction is a metric a CFO understands without a security background. The Finance-specific result (18.4% → 4.2%) directly addressed the 2024 near-miss that motivated the programme. The simulation results were cited by the certification body as a positive finding and by the CEO in the Stage 2 closing meeting.</w:t>
            </w:r>
          </w:p>
          <w:p>
            <w:pPr>
              <w:spacing w:after="0" w:before="0"/>
            </w:pPr>
            <w:r>
              <w:rPr>
                <w:rFonts w:ascii="Aptos" w:cs="Aptos" w:eastAsia="Aptos" w:hAnsi="Aptos"/>
                <w:b/>
                <w:bCs/>
                <w:i/>
                <w:iCs/>
                <w:color w:val="595959"/>
                <w:sz w:val="24"/>
                <w:szCs w:val="24"/>
              </w:rPr>
              <w:t xml:space="preserve">Recommendation for future programmes: </w:t>
            </w:r>
            <w:r>
              <w:rPr>
                <w:rFonts w:ascii="Aptos" w:cs="Aptos" w:eastAsia="Aptos" w:hAnsi="Aptos"/>
                <w:b w:val="false"/>
                <w:bCs w:val="false"/>
                <w:i/>
                <w:iCs/>
                <w:color w:val="000000"/>
                <w:sz w:val="24"/>
                <w:szCs w:val="24"/>
              </w:rPr>
              <w:t xml:space="preserve">Run the first phishing simulation as early as possible in the programme — in the first month if feasible. A baseline established early gives more time for the training to take effect and more data points for reporting. Two simulation cycles in 14 months was the minimum; three would be better.</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C8990A" w:sz="4"/>
              <w:left w:val="single" w:color="C8990A" w:sz="4"/>
              <w:bottom w:val="single" w:color="C8990A" w:sz="4"/>
              <w:right w:val="none"/>
            </w:tcBorders>
            <w:shd w:fill="C8990A"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FFD966" w:sz="4"/>
              <w:left w:val="none"/>
              <w:bottom w:val="single" w:color="FFD966" w:sz="4"/>
              <w:right w:val="single" w:color="FFD966" w:sz="4"/>
            </w:tcBorders>
            <w:shd w:fill="FFF9C4" w:color="auto" w:val="clear"/>
            <w:tcMar>
              <w:top w:type="dxa" w:w="80"/>
              <w:left w:type="dxa" w:w="160"/>
              <w:bottom w:type="dxa" w:w="80"/>
              <w:right w:type="dxa" w:w="120"/>
            </w:tcMar>
          </w:tcPr>
          <w:p>
            <w:pPr>
              <w:spacing w:after="30" w:before="0"/>
            </w:pPr>
            <w:r>
              <w:rPr>
                <w:rFonts w:ascii="Aptos" w:cs="Aptos" w:eastAsia="Aptos" w:hAnsi="Aptos"/>
                <w:b/>
                <w:bCs/>
                <w:i w:val="false"/>
                <w:iCs w:val="false"/>
                <w:color w:val="7F6000"/>
                <w:sz w:val="24"/>
                <w:szCs w:val="24"/>
              </w:rPr>
              <w:t xml:space="preserve">Programme lesson PL-005: </w:t>
            </w:r>
            <w:r>
              <w:rPr>
                <w:rFonts w:ascii="Aptos" w:cs="Aptos" w:eastAsia="Aptos" w:hAnsi="Aptos"/>
                <w:b w:val="false"/>
                <w:bCs w:val="false"/>
                <w:i w:val="false"/>
                <w:iCs w:val="false"/>
                <w:color w:val="000000"/>
                <w:sz w:val="24"/>
                <w:szCs w:val="24"/>
              </w:rPr>
              <w:t xml:space="preserve">CEO engagement quality directly affected the certification outcome. The CEO's participation in monthly GRC reports, quarterly Steering Committee meetings, and the December 2026 management review produced genuine familiarity with the ISMS — not briefed familiarity. The certification body's CEO interview produced the highest-quality evidence of management commitment in the audit: she named specific documents, described specific processes, and the certifiation body assessed this as significantly above average. This was not luck — it was a consequence of the CEO's actual participation over 14 months.</w:t>
            </w:r>
          </w:p>
          <w:p>
            <w:pPr>
              <w:spacing w:after="0" w:before="0"/>
            </w:pPr>
            <w:r>
              <w:rPr>
                <w:rFonts w:ascii="Aptos" w:cs="Aptos" w:eastAsia="Aptos" w:hAnsi="Aptos"/>
                <w:b/>
                <w:bCs/>
                <w:i/>
                <w:iCs/>
                <w:color w:val="595959"/>
                <w:sz w:val="24"/>
                <w:szCs w:val="24"/>
              </w:rPr>
              <w:t xml:space="preserve">Recommendation for future programmes: </w:t>
            </w:r>
            <w:r>
              <w:rPr>
                <w:rFonts w:ascii="Aptos" w:cs="Aptos" w:eastAsia="Aptos" w:hAnsi="Aptos"/>
                <w:b w:val="false"/>
                <w:bCs w:val="false"/>
                <w:i/>
                <w:iCs/>
                <w:color w:val="000000"/>
                <w:sz w:val="24"/>
                <w:szCs w:val="24"/>
              </w:rPr>
              <w:t xml:space="preserve">The CEO's engagement should be structured from Month 1, not requested at Month 13. Monthly GRC reports should be written to be genuinely informative to a non-technical executive, not to demonstrate process compliance. A CEO who reads the GRC report before the quarterly SC meeting is a CEO who can answer an auditor's question from direct experience.</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1"/>
        <w:spacing w:after="100" w:before="280"/>
      </w:pPr>
      <w:r>
        <w:rPr>
          <w:rFonts w:ascii="Aptos" w:cs="Aptos" w:eastAsia="Aptos" w:hAnsi="Aptos"/>
          <w:b/>
          <w:bCs/>
          <w:i w:val="false"/>
          <w:iCs w:val="false"/>
          <w:color w:val="000000"/>
          <w:sz w:val="34"/>
          <w:szCs w:val="34"/>
        </w:rPr>
        <w:t xml:space="preserve">6. Handover to Operational ISMS</w:t>
      </w:r>
    </w:p>
    <w:p>
      <w:pPr>
        <w:spacing w:after="120" w:before="0"/>
        <w:jc w:val="left"/>
      </w:pPr>
      <w:r>
        <w:rPr>
          <w:rFonts w:ascii="Aptos" w:cs="Aptos" w:eastAsia="Aptos" w:hAnsi="Aptos"/>
          <w:b w:val="false"/>
          <w:bCs w:val="false"/>
          <w:i w:val="false"/>
          <w:iCs w:val="false"/>
          <w:color w:val="000000"/>
          <w:sz w:val="24"/>
          <w:szCs w:val="24"/>
        </w:rPr>
        <w:t xml:space="preserve">The following handover items transfer ownership from the Project HealthSec programme team to the ongoing operational ISMS function. All handover items are confirmed complete as at 30 April 2027.</w:t>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30" w:before="0"/>
            </w:pPr>
            <w:r>
              <w:rPr>
                <w:rFonts w:ascii="Aptos" w:cs="Aptos" w:eastAsia="Aptos" w:hAnsi="Aptos"/>
                <w:b/>
                <w:bCs/>
                <w:i w:val="false"/>
                <w:iCs w:val="false"/>
                <w:color w:val="375623"/>
                <w:sz w:val="24"/>
                <w:szCs w:val="24"/>
              </w:rPr>
              <w:t xml:space="preserve">GRC Repository ownership and access management</w:t>
            </w:r>
          </w:p>
          <w:p>
            <w:pPr>
              <w:spacing w:after="20" w:before="0"/>
            </w:pPr>
            <w:r>
              <w:rPr>
                <w:rFonts w:ascii="Aptos" w:cs="Aptos" w:eastAsia="Aptos" w:hAnsi="Aptos"/>
                <w:b/>
                <w:bCs/>
                <w:i w:val="false"/>
                <w:iCs w:val="false"/>
                <w:color w:val="595959"/>
                <w:sz w:val="22"/>
                <w:szCs w:val="22"/>
              </w:rPr>
              <w:t xml:space="preserve">Handover from: </w:t>
            </w:r>
            <w:r>
              <w:rPr>
                <w:rFonts w:ascii="Aptos" w:cs="Aptos" w:eastAsia="Aptos" w:hAnsi="Aptos"/>
                <w:b w:val="false"/>
                <w:bCs w:val="false"/>
                <w:i w:val="false"/>
                <w:iCs w:val="false"/>
                <w:color w:val="000000"/>
                <w:sz w:val="22"/>
                <w:szCs w:val="22"/>
              </w:rPr>
              <w:t xml:space="preserve">Meera Iyer (ISMS Manager, acting as Programme Manager)</w:t>
            </w:r>
            <w:r>
              <w:rPr>
                <w:rFonts w:ascii="Aptos" w:cs="Aptos" w:eastAsia="Aptos" w:hAnsi="Aptos"/>
                <w:b/>
                <w:bCs/>
                <w:i w:val="false"/>
                <w:iCs w:val="false"/>
                <w:color w:val="595959"/>
                <w:sz w:val="22"/>
                <w:szCs w:val="22"/>
              </w:rPr>
              <w:t xml:space="preserve">  →  To: </w:t>
            </w:r>
            <w:r>
              <w:rPr>
                <w:rFonts w:ascii="Aptos" w:cs="Aptos" w:eastAsia="Aptos" w:hAnsi="Aptos"/>
                <w:b/>
                <w:bCs/>
                <w:i w:val="false"/>
                <w:iCs w:val="false"/>
                <w:color w:val="000000"/>
                <w:sz w:val="22"/>
                <w:szCs w:val="22"/>
              </w:rPr>
              <w:t xml:space="preserve">Meera Iyer (ISMS Manager, ongoing operational role)</w:t>
            </w:r>
          </w:p>
          <w:p>
            <w:pPr>
              <w:spacing w:after="0" w:before="0"/>
            </w:pPr>
            <w:r>
              <w:rPr>
                <w:rFonts w:ascii="Aptos" w:cs="Aptos" w:eastAsia="Aptos" w:hAnsi="Aptos"/>
                <w:b/>
                <w:bCs/>
                <w:i w:val="false"/>
                <w:iCs w:val="false"/>
                <w:color w:val="595959"/>
                <w:sz w:val="22"/>
                <w:szCs w:val="22"/>
              </w:rPr>
              <w:t xml:space="preserve">Key documents: </w:t>
            </w:r>
            <w:r>
              <w:rPr>
                <w:rFonts w:ascii="Aptos" w:cs="Aptos" w:eastAsia="Aptos" w:hAnsi="Aptos"/>
                <w:b w:val="false"/>
                <w:bCs w:val="false"/>
                <w:i/>
                <w:iCs/>
                <w:color w:val="000000"/>
                <w:sz w:val="22"/>
                <w:szCs w:val="22"/>
              </w:rPr>
              <w:t xml:space="preserve">ISMS-SUP-009 (Document Register) · ISMS-SUP-010 (Records Retention) · SharePoint access control list</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30" w:before="0"/>
            </w:pPr>
            <w:r>
              <w:rPr>
                <w:rFonts w:ascii="Aptos" w:cs="Aptos" w:eastAsia="Aptos" w:hAnsi="Aptos"/>
                <w:b/>
                <w:bCs/>
                <w:i w:val="false"/>
                <w:iCs w:val="false"/>
                <w:color w:val="375623"/>
                <w:sz w:val="24"/>
                <w:szCs w:val="24"/>
              </w:rPr>
              <w:t xml:space="preserve">Risk register — ongoing review and update cycle</w:t>
            </w:r>
          </w:p>
          <w:p>
            <w:pPr>
              <w:spacing w:after="20" w:before="0"/>
            </w:pPr>
            <w:r>
              <w:rPr>
                <w:rFonts w:ascii="Aptos" w:cs="Aptos" w:eastAsia="Aptos" w:hAnsi="Aptos"/>
                <w:b/>
                <w:bCs/>
                <w:i w:val="false"/>
                <w:iCs w:val="false"/>
                <w:color w:val="595959"/>
                <w:sz w:val="22"/>
                <w:szCs w:val="22"/>
              </w:rPr>
              <w:t xml:space="preserve">Handover from: </w:t>
            </w:r>
            <w:r>
              <w:rPr>
                <w:rFonts w:ascii="Aptos" w:cs="Aptos" w:eastAsia="Aptos" w:hAnsi="Aptos"/>
                <w:b w:val="false"/>
                <w:bCs w:val="false"/>
                <w:i w:val="false"/>
                <w:iCs w:val="false"/>
                <w:color w:val="000000"/>
                <w:sz w:val="22"/>
                <w:szCs w:val="22"/>
              </w:rPr>
              <w:t xml:space="preserve">CISO (programme lead for risk assessment)</w:t>
            </w:r>
            <w:r>
              <w:rPr>
                <w:rFonts w:ascii="Aptos" w:cs="Aptos" w:eastAsia="Aptos" w:hAnsi="Aptos"/>
                <w:b/>
                <w:bCs/>
                <w:i w:val="false"/>
                <w:iCs w:val="false"/>
                <w:color w:val="595959"/>
                <w:sz w:val="22"/>
                <w:szCs w:val="22"/>
              </w:rPr>
              <w:t xml:space="preserve">  →  To: </w:t>
            </w:r>
            <w:r>
              <w:rPr>
                <w:rFonts w:ascii="Aptos" w:cs="Aptos" w:eastAsia="Aptos" w:hAnsi="Aptos"/>
                <w:b/>
                <w:bCs/>
                <w:i w:val="false"/>
                <w:iCs w:val="false"/>
                <w:color w:val="000000"/>
                <w:sz w:val="22"/>
                <w:szCs w:val="22"/>
              </w:rPr>
              <w:t xml:space="preserve">CISO (ongoing risk owner) + ISMS Manager (register maintenance)</w:t>
            </w:r>
          </w:p>
          <w:p>
            <w:pPr>
              <w:spacing w:after="0" w:before="0"/>
            </w:pPr>
            <w:r>
              <w:rPr>
                <w:rFonts w:ascii="Aptos" w:cs="Aptos" w:eastAsia="Aptos" w:hAnsi="Aptos"/>
                <w:b/>
                <w:bCs/>
                <w:i w:val="false"/>
                <w:iCs w:val="false"/>
                <w:color w:val="595959"/>
                <w:sz w:val="22"/>
                <w:szCs w:val="22"/>
              </w:rPr>
              <w:t xml:space="preserve">Key documents: </w:t>
            </w:r>
            <w:r>
              <w:rPr>
                <w:rFonts w:ascii="Aptos" w:cs="Aptos" w:eastAsia="Aptos" w:hAnsi="Aptos"/>
                <w:b w:val="false"/>
                <w:bCs w:val="false"/>
                <w:i/>
                <w:iCs/>
                <w:color w:val="000000"/>
                <w:sz w:val="22"/>
                <w:szCs w:val="22"/>
              </w:rPr>
              <w:t xml:space="preserve">ISMS-PLN-004 (Risk Register) · ISMS-PLN-005 (Risk Treatment Plan) · ISMS-OPS-011 (Reassessment methodology)</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30" w:before="0"/>
            </w:pPr>
            <w:r>
              <w:rPr>
                <w:rFonts w:ascii="Aptos" w:cs="Aptos" w:eastAsia="Aptos" w:hAnsi="Aptos"/>
                <w:b/>
                <w:bCs/>
                <w:i w:val="false"/>
                <w:iCs w:val="false"/>
                <w:color w:val="375623"/>
                <w:sz w:val="24"/>
                <w:szCs w:val="24"/>
              </w:rPr>
              <w:t xml:space="preserve">SoA — ongoing update as controls move from IP to FI</w:t>
            </w:r>
          </w:p>
          <w:p>
            <w:pPr>
              <w:spacing w:after="20" w:before="0"/>
            </w:pPr>
            <w:r>
              <w:rPr>
                <w:rFonts w:ascii="Aptos" w:cs="Aptos" w:eastAsia="Aptos" w:hAnsi="Aptos"/>
                <w:b/>
                <w:bCs/>
                <w:i w:val="false"/>
                <w:iCs w:val="false"/>
                <w:color w:val="595959"/>
                <w:sz w:val="22"/>
                <w:szCs w:val="22"/>
              </w:rPr>
              <w:t xml:space="preserve">Handover from: </w:t>
            </w:r>
            <w:r>
              <w:rPr>
                <w:rFonts w:ascii="Aptos" w:cs="Aptos" w:eastAsia="Aptos" w:hAnsi="Aptos"/>
                <w:b w:val="false"/>
                <w:bCs w:val="false"/>
                <w:i w:val="false"/>
                <w:iCs w:val="false"/>
                <w:color w:val="000000"/>
                <w:sz w:val="22"/>
                <w:szCs w:val="22"/>
              </w:rPr>
              <w:t xml:space="preserve">ISMS Manager (programme SoA owner)</w:t>
            </w:r>
            <w:r>
              <w:rPr>
                <w:rFonts w:ascii="Aptos" w:cs="Aptos" w:eastAsia="Aptos" w:hAnsi="Aptos"/>
                <w:b/>
                <w:bCs/>
                <w:i w:val="false"/>
                <w:iCs w:val="false"/>
                <w:color w:val="595959"/>
                <w:sz w:val="22"/>
                <w:szCs w:val="22"/>
              </w:rPr>
              <w:t xml:space="preserve">  →  To: </w:t>
            </w:r>
            <w:r>
              <w:rPr>
                <w:rFonts w:ascii="Aptos" w:cs="Aptos" w:eastAsia="Aptos" w:hAnsi="Aptos"/>
                <w:b/>
                <w:bCs/>
                <w:i w:val="false"/>
                <w:iCs w:val="false"/>
                <w:color w:val="000000"/>
                <w:sz w:val="22"/>
                <w:szCs w:val="22"/>
              </w:rPr>
              <w:t xml:space="preserve">ISMS Manager (ongoing SoA custodian) · CISO (FI approval authority)</w:t>
            </w:r>
          </w:p>
          <w:p>
            <w:pPr>
              <w:spacing w:after="0" w:before="0"/>
            </w:pPr>
            <w:r>
              <w:rPr>
                <w:rFonts w:ascii="Aptos" w:cs="Aptos" w:eastAsia="Aptos" w:hAnsi="Aptos"/>
                <w:b/>
                <w:bCs/>
                <w:i w:val="false"/>
                <w:iCs w:val="false"/>
                <w:color w:val="595959"/>
                <w:sz w:val="22"/>
                <w:szCs w:val="22"/>
              </w:rPr>
              <w:t xml:space="preserve">Key documents: </w:t>
            </w:r>
            <w:r>
              <w:rPr>
                <w:rFonts w:ascii="Aptos" w:cs="Aptos" w:eastAsia="Aptos" w:hAnsi="Aptos"/>
                <w:b w:val="false"/>
                <w:bCs w:val="false"/>
                <w:i/>
                <w:iCs/>
                <w:color w:val="000000"/>
                <w:sz w:val="22"/>
                <w:szCs w:val="22"/>
              </w:rPr>
              <w:t xml:space="preserve">ISMS-PLN-006 (SoA v1.1) · ISMS-OPS-002 (Control Evidence Log) · OPS-002 completion guidance note</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30" w:before="0"/>
            </w:pPr>
            <w:r>
              <w:rPr>
                <w:rFonts w:ascii="Aptos" w:cs="Aptos" w:eastAsia="Aptos" w:hAnsi="Aptos"/>
                <w:b/>
                <w:bCs/>
                <w:i w:val="false"/>
                <w:iCs w:val="false"/>
                <w:color w:val="375623"/>
                <w:sz w:val="24"/>
                <w:szCs w:val="24"/>
              </w:rPr>
              <w:t xml:space="preserve">Monthly GRC status reporting</w:t>
            </w:r>
          </w:p>
          <w:p>
            <w:pPr>
              <w:spacing w:after="20" w:before="0"/>
            </w:pPr>
            <w:r>
              <w:rPr>
                <w:rFonts w:ascii="Aptos" w:cs="Aptos" w:eastAsia="Aptos" w:hAnsi="Aptos"/>
                <w:b/>
                <w:bCs/>
                <w:i w:val="false"/>
                <w:iCs w:val="false"/>
                <w:color w:val="595959"/>
                <w:sz w:val="22"/>
                <w:szCs w:val="22"/>
              </w:rPr>
              <w:t xml:space="preserve">Handover from: </w:t>
            </w:r>
            <w:r>
              <w:rPr>
                <w:rFonts w:ascii="Aptos" w:cs="Aptos" w:eastAsia="Aptos" w:hAnsi="Aptos"/>
                <w:b w:val="false"/>
                <w:bCs w:val="false"/>
                <w:i w:val="false"/>
                <w:iCs w:val="false"/>
                <w:color w:val="000000"/>
                <w:sz w:val="22"/>
                <w:szCs w:val="22"/>
              </w:rPr>
              <w:t xml:space="preserve">ISMS Manager (programme reporting)</w:t>
            </w:r>
            <w:r>
              <w:rPr>
                <w:rFonts w:ascii="Aptos" w:cs="Aptos" w:eastAsia="Aptos" w:hAnsi="Aptos"/>
                <w:b/>
                <w:bCs/>
                <w:i w:val="false"/>
                <w:iCs w:val="false"/>
                <w:color w:val="595959"/>
                <w:sz w:val="22"/>
                <w:szCs w:val="22"/>
              </w:rPr>
              <w:t xml:space="preserve">  →  To: </w:t>
            </w:r>
            <w:r>
              <w:rPr>
                <w:rFonts w:ascii="Aptos" w:cs="Aptos" w:eastAsia="Aptos" w:hAnsi="Aptos"/>
                <w:b/>
                <w:bCs/>
                <w:i w:val="false"/>
                <w:iCs w:val="false"/>
                <w:color w:val="000000"/>
                <w:sz w:val="22"/>
                <w:szCs w:val="22"/>
              </w:rPr>
              <w:t xml:space="preserve">ISMS Manager (ongoing operational reporting to CISO and Steering Committee)</w:t>
            </w:r>
          </w:p>
          <w:p>
            <w:pPr>
              <w:spacing w:after="0" w:before="0"/>
            </w:pPr>
            <w:r>
              <w:rPr>
                <w:rFonts w:ascii="Aptos" w:cs="Aptos" w:eastAsia="Aptos" w:hAnsi="Aptos"/>
                <w:b/>
                <w:bCs/>
                <w:i w:val="false"/>
                <w:iCs w:val="false"/>
                <w:color w:val="595959"/>
                <w:sz w:val="22"/>
                <w:szCs w:val="22"/>
              </w:rPr>
              <w:t xml:space="preserve">Key documents: </w:t>
            </w:r>
            <w:r>
              <w:rPr>
                <w:rFonts w:ascii="Aptos" w:cs="Aptos" w:eastAsia="Aptos" w:hAnsi="Aptos"/>
                <w:b w:val="false"/>
                <w:bCs w:val="false"/>
                <w:i/>
                <w:iCs/>
                <w:color w:val="000000"/>
                <w:sz w:val="22"/>
                <w:szCs w:val="22"/>
              </w:rPr>
              <w:t xml:space="preserve">ISMS-SUP-007 (GRC Report template I-04) · KPI log (ISMS-PEV-002)</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30" w:before="0"/>
            </w:pPr>
            <w:r>
              <w:rPr>
                <w:rFonts w:ascii="Aptos" w:cs="Aptos" w:eastAsia="Aptos" w:hAnsi="Aptos"/>
                <w:b/>
                <w:bCs/>
                <w:i w:val="false"/>
                <w:iCs w:val="false"/>
                <w:color w:val="375623"/>
                <w:sz w:val="24"/>
                <w:szCs w:val="24"/>
              </w:rPr>
              <w:t xml:space="preserve">Internal audit programme — Audit 3 planning</w:t>
            </w:r>
          </w:p>
          <w:p>
            <w:pPr>
              <w:spacing w:after="20" w:before="0"/>
            </w:pPr>
            <w:r>
              <w:rPr>
                <w:rFonts w:ascii="Aptos" w:cs="Aptos" w:eastAsia="Aptos" w:hAnsi="Aptos"/>
                <w:b/>
                <w:bCs/>
                <w:i w:val="false"/>
                <w:iCs w:val="false"/>
                <w:color w:val="595959"/>
                <w:sz w:val="22"/>
                <w:szCs w:val="22"/>
              </w:rPr>
              <w:t xml:space="preserve">Handover from: </w:t>
            </w:r>
            <w:r>
              <w:rPr>
                <w:rFonts w:ascii="Aptos" w:cs="Aptos" w:eastAsia="Aptos" w:hAnsi="Aptos"/>
                <w:b w:val="false"/>
                <w:bCs w:val="false"/>
                <w:i w:val="false"/>
                <w:iCs w:val="false"/>
                <w:color w:val="000000"/>
                <w:sz w:val="22"/>
                <w:szCs w:val="22"/>
              </w:rPr>
              <w:t xml:space="preserve">ISMS Manager (programme audit coordination)</w:t>
            </w:r>
            <w:r>
              <w:rPr>
                <w:rFonts w:ascii="Aptos" w:cs="Aptos" w:eastAsia="Aptos" w:hAnsi="Aptos"/>
                <w:b/>
                <w:bCs/>
                <w:i w:val="false"/>
                <w:iCs w:val="false"/>
                <w:color w:val="595959"/>
                <w:sz w:val="22"/>
                <w:szCs w:val="22"/>
              </w:rPr>
              <w:t xml:space="preserve">  →  To: </w:t>
            </w:r>
            <w:r>
              <w:rPr>
                <w:rFonts w:ascii="Aptos" w:cs="Aptos" w:eastAsia="Aptos" w:hAnsi="Aptos"/>
                <w:b/>
                <w:bCs/>
                <w:i w:val="false"/>
                <w:iCs w:val="false"/>
                <w:color w:val="000000"/>
                <w:sz w:val="22"/>
                <w:szCs w:val="22"/>
              </w:rPr>
              <w:t xml:space="preserve">ISMS Manager (ongoing audit programme owner)</w:t>
            </w:r>
          </w:p>
          <w:p>
            <w:pPr>
              <w:spacing w:after="0" w:before="0"/>
            </w:pPr>
            <w:r>
              <w:rPr>
                <w:rFonts w:ascii="Aptos" w:cs="Aptos" w:eastAsia="Aptos" w:hAnsi="Aptos"/>
                <w:b/>
                <w:bCs/>
                <w:i w:val="false"/>
                <w:iCs w:val="false"/>
                <w:color w:val="595959"/>
                <w:sz w:val="22"/>
                <w:szCs w:val="22"/>
              </w:rPr>
              <w:t xml:space="preserve">Key documents: </w:t>
            </w:r>
            <w:r>
              <w:rPr>
                <w:rFonts w:ascii="Aptos" w:cs="Aptos" w:eastAsia="Aptos" w:hAnsi="Aptos"/>
                <w:b w:val="false"/>
                <w:bCs w:val="false"/>
                <w:i/>
                <w:iCs/>
                <w:color w:val="000000"/>
                <w:sz w:val="22"/>
                <w:szCs w:val="22"/>
              </w:rPr>
              <w:t xml:space="preserve">ISMS-PEV-003 (Internal Audit Programme) · External audit lead (IRCA-registered, to be re-engaged for Audit 3)</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30" w:before="0"/>
            </w:pPr>
            <w:r>
              <w:rPr>
                <w:rFonts w:ascii="Aptos" w:cs="Aptos" w:eastAsia="Aptos" w:hAnsi="Aptos"/>
                <w:b/>
                <w:bCs/>
                <w:i w:val="false"/>
                <w:iCs w:val="false"/>
                <w:color w:val="375623"/>
                <w:sz w:val="24"/>
                <w:szCs w:val="24"/>
              </w:rPr>
              <w:t xml:space="preserve">Supplier management — Tier 1 and Tier 2 assessment cycle</w:t>
            </w:r>
          </w:p>
          <w:p>
            <w:pPr>
              <w:spacing w:after="20" w:before="0"/>
            </w:pPr>
            <w:r>
              <w:rPr>
                <w:rFonts w:ascii="Aptos" w:cs="Aptos" w:eastAsia="Aptos" w:hAnsi="Aptos"/>
                <w:b/>
                <w:bCs/>
                <w:i w:val="false"/>
                <w:iCs w:val="false"/>
                <w:color w:val="595959"/>
                <w:sz w:val="22"/>
                <w:szCs w:val="22"/>
              </w:rPr>
              <w:t xml:space="preserve">Handover from: </w:t>
            </w:r>
            <w:r>
              <w:rPr>
                <w:rFonts w:ascii="Aptos" w:cs="Aptos" w:eastAsia="Aptos" w:hAnsi="Aptos"/>
                <w:b w:val="false"/>
                <w:bCs w:val="false"/>
                <w:i w:val="false"/>
                <w:iCs w:val="false"/>
                <w:color w:val="000000"/>
                <w:sz w:val="22"/>
                <w:szCs w:val="22"/>
              </w:rPr>
              <w:t xml:space="preserve">ISMS Manager (interim Procurement owner during programme)</w:t>
            </w:r>
            <w:r>
              <w:rPr>
                <w:rFonts w:ascii="Aptos" w:cs="Aptos" w:eastAsia="Aptos" w:hAnsi="Aptos"/>
                <w:b/>
                <w:bCs/>
                <w:i w:val="false"/>
                <w:iCs w:val="false"/>
                <w:color w:val="595959"/>
                <w:sz w:val="22"/>
                <w:szCs w:val="22"/>
              </w:rPr>
              <w:t xml:space="preserve">  →  To: </w:t>
            </w:r>
            <w:r>
              <w:rPr>
                <w:rFonts w:ascii="Aptos" w:cs="Aptos" w:eastAsia="Aptos" w:hAnsi="Aptos"/>
                <w:b/>
                <w:bCs/>
                <w:i w:val="false"/>
                <w:iCs w:val="false"/>
                <w:color w:val="000000"/>
                <w:sz w:val="22"/>
                <w:szCs w:val="22"/>
              </w:rPr>
              <w:t xml:space="preserve">Priya Mehta (Head of Procurement, appointed 17 February 2027) + ISMS Manager (oversight)</w:t>
            </w:r>
          </w:p>
          <w:p>
            <w:pPr>
              <w:spacing w:after="0" w:before="0"/>
            </w:pPr>
            <w:r>
              <w:rPr>
                <w:rFonts w:ascii="Aptos" w:cs="Aptos" w:eastAsia="Aptos" w:hAnsi="Aptos"/>
                <w:b/>
                <w:bCs/>
                <w:i w:val="false"/>
                <w:iCs w:val="false"/>
                <w:color w:val="595959"/>
                <w:sz w:val="22"/>
                <w:szCs w:val="22"/>
              </w:rPr>
              <w:t xml:space="preserve">Key documents: </w:t>
            </w:r>
            <w:r>
              <w:rPr>
                <w:rFonts w:ascii="Aptos" w:cs="Aptos" w:eastAsia="Aptos" w:hAnsi="Aptos"/>
                <w:b w:val="false"/>
                <w:bCs w:val="false"/>
                <w:i/>
                <w:iCs/>
                <w:color w:val="000000"/>
                <w:sz w:val="22"/>
                <w:szCs w:val="22"/>
              </w:rPr>
              <w:t xml:space="preserve">ISMS-OPS-003 (Vendor Assessment Reports) · ISMS-OPS-004 (Supplier Register)</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30" w:before="0"/>
            </w:pPr>
            <w:r>
              <w:rPr>
                <w:rFonts w:ascii="Aptos" w:cs="Aptos" w:eastAsia="Aptos" w:hAnsi="Aptos"/>
                <w:b/>
                <w:bCs/>
                <w:i w:val="false"/>
                <w:iCs w:val="false"/>
                <w:color w:val="375623"/>
                <w:sz w:val="24"/>
                <w:szCs w:val="24"/>
              </w:rPr>
              <w:t xml:space="preserve">Penetration test programme — annual cycle</w:t>
            </w:r>
          </w:p>
          <w:p>
            <w:pPr>
              <w:spacing w:after="20" w:before="0"/>
            </w:pPr>
            <w:r>
              <w:rPr>
                <w:rFonts w:ascii="Aptos" w:cs="Aptos" w:eastAsia="Aptos" w:hAnsi="Aptos"/>
                <w:b/>
                <w:bCs/>
                <w:i w:val="false"/>
                <w:iCs w:val="false"/>
                <w:color w:val="595959"/>
                <w:sz w:val="22"/>
                <w:szCs w:val="22"/>
              </w:rPr>
              <w:t xml:space="preserve">Handover from: </w:t>
            </w:r>
            <w:r>
              <w:rPr>
                <w:rFonts w:ascii="Aptos" w:cs="Aptos" w:eastAsia="Aptos" w:hAnsi="Aptos"/>
                <w:b w:val="false"/>
                <w:bCs w:val="false"/>
                <w:i w:val="false"/>
                <w:iCs w:val="false"/>
                <w:color w:val="000000"/>
                <w:sz w:val="22"/>
                <w:szCs w:val="22"/>
              </w:rPr>
              <w:t xml:space="preserve">CISO (programme pen test oversight)</w:t>
            </w:r>
            <w:r>
              <w:rPr>
                <w:rFonts w:ascii="Aptos" w:cs="Aptos" w:eastAsia="Aptos" w:hAnsi="Aptos"/>
                <w:b/>
                <w:bCs/>
                <w:i w:val="false"/>
                <w:iCs w:val="false"/>
                <w:color w:val="595959"/>
                <w:sz w:val="22"/>
                <w:szCs w:val="22"/>
              </w:rPr>
              <w:t xml:space="preserve">  →  To: </w:t>
            </w:r>
            <w:r>
              <w:rPr>
                <w:rFonts w:ascii="Aptos" w:cs="Aptos" w:eastAsia="Aptos" w:hAnsi="Aptos"/>
                <w:b/>
                <w:bCs/>
                <w:i w:val="false"/>
                <w:iCs w:val="false"/>
                <w:color w:val="000000"/>
                <w:sz w:val="22"/>
                <w:szCs w:val="22"/>
              </w:rPr>
              <w:t xml:space="preserve">CISO (ongoing annual pen test owner)</w:t>
            </w:r>
          </w:p>
          <w:p>
            <w:pPr>
              <w:spacing w:after="0" w:before="0"/>
            </w:pPr>
            <w:r>
              <w:rPr>
                <w:rFonts w:ascii="Aptos" w:cs="Aptos" w:eastAsia="Aptos" w:hAnsi="Aptos"/>
                <w:b/>
                <w:bCs/>
                <w:i w:val="false"/>
                <w:iCs w:val="false"/>
                <w:color w:val="595959"/>
                <w:sz w:val="22"/>
                <w:szCs w:val="22"/>
              </w:rPr>
              <w:t xml:space="preserve">Key documents: </w:t>
            </w:r>
            <w:r>
              <w:rPr>
                <w:rFonts w:ascii="Aptos" w:cs="Aptos" w:eastAsia="Aptos" w:hAnsi="Aptos"/>
                <w:b w:val="false"/>
                <w:bCs w:val="false"/>
                <w:i/>
                <w:iCs/>
                <w:color w:val="000000"/>
                <w:sz w:val="22"/>
                <w:szCs w:val="22"/>
              </w:rPr>
              <w:t xml:space="preserve">ISMS-OPS-002 (A8.8 evidence entry) · Annual pen test budget line (to be confirmed with CFO)</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30" w:before="0"/>
            </w:pPr>
            <w:r>
              <w:rPr>
                <w:rFonts w:ascii="Aptos" w:cs="Aptos" w:eastAsia="Aptos" w:hAnsi="Aptos"/>
                <w:b/>
                <w:bCs/>
                <w:i w:val="false"/>
                <w:iCs w:val="false"/>
                <w:color w:val="375623"/>
                <w:sz w:val="24"/>
                <w:szCs w:val="24"/>
              </w:rPr>
              <w:t xml:space="preserve">Certification body relationship and surveillance scheduling</w:t>
            </w:r>
          </w:p>
          <w:p>
            <w:pPr>
              <w:spacing w:after="20" w:before="0"/>
            </w:pPr>
            <w:r>
              <w:rPr>
                <w:rFonts w:ascii="Aptos" w:cs="Aptos" w:eastAsia="Aptos" w:hAnsi="Aptos"/>
                <w:b/>
                <w:bCs/>
                <w:i w:val="false"/>
                <w:iCs w:val="false"/>
                <w:color w:val="595959"/>
                <w:sz w:val="22"/>
                <w:szCs w:val="22"/>
              </w:rPr>
              <w:t xml:space="preserve">Handover from: </w:t>
            </w:r>
            <w:r>
              <w:rPr>
                <w:rFonts w:ascii="Aptos" w:cs="Aptos" w:eastAsia="Aptos" w:hAnsi="Aptos"/>
                <w:b w:val="false"/>
                <w:bCs w:val="false"/>
                <w:i w:val="false"/>
                <w:iCs w:val="false"/>
                <w:color w:val="000000"/>
                <w:sz w:val="22"/>
                <w:szCs w:val="22"/>
              </w:rPr>
              <w:t xml:space="preserve">ISMS Manager (certification application and audit coordination)</w:t>
            </w:r>
            <w:r>
              <w:rPr>
                <w:rFonts w:ascii="Aptos" w:cs="Aptos" w:eastAsia="Aptos" w:hAnsi="Aptos"/>
                <w:b/>
                <w:bCs/>
                <w:i w:val="false"/>
                <w:iCs w:val="false"/>
                <w:color w:val="595959"/>
                <w:sz w:val="22"/>
                <w:szCs w:val="22"/>
              </w:rPr>
              <w:t xml:space="preserve">  →  To: </w:t>
            </w:r>
            <w:r>
              <w:rPr>
                <w:rFonts w:ascii="Aptos" w:cs="Aptos" w:eastAsia="Aptos" w:hAnsi="Aptos"/>
                <w:b/>
                <w:bCs/>
                <w:i w:val="false"/>
                <w:iCs w:val="false"/>
                <w:color w:val="000000"/>
                <w:sz w:val="22"/>
                <w:szCs w:val="22"/>
              </w:rPr>
              <w:t xml:space="preserve">ISMS Manager (ongoing CB liaison) + CISO (escalation contact)</w:t>
            </w:r>
          </w:p>
          <w:p>
            <w:pPr>
              <w:spacing w:after="0" w:before="0"/>
            </w:pPr>
            <w:r>
              <w:rPr>
                <w:rFonts w:ascii="Aptos" w:cs="Aptos" w:eastAsia="Aptos" w:hAnsi="Aptos"/>
                <w:b/>
                <w:bCs/>
                <w:i w:val="false"/>
                <w:iCs w:val="false"/>
                <w:color w:val="595959"/>
                <w:sz w:val="22"/>
                <w:szCs w:val="22"/>
              </w:rPr>
              <w:t xml:space="preserve">Key documents: </w:t>
            </w:r>
            <w:r>
              <w:rPr>
                <w:rFonts w:ascii="Aptos" w:cs="Aptos" w:eastAsia="Aptos" w:hAnsi="Aptos"/>
                <w:b w:val="false"/>
                <w:bCs w:val="false"/>
                <w:i/>
                <w:iCs/>
                <w:color w:val="000000"/>
                <w:sz w:val="22"/>
                <w:szCs w:val="22"/>
              </w:rPr>
              <w:t xml:space="preserve">ISMS-CRT-003 (Surveillance Schedule) · ISMS-ST1-001 (CB application reference) · CB contact details in GRC</w:t>
            </w:r>
          </w:p>
        </w:tc>
      </w:tr>
    </w:tbl>
    <w:p>
      <w:pPr>
        <w:spacing w:after="80" w:before="0"/>
        <w:jc w:val="left"/>
      </w:pPr>
      <w:r>
        <w:rPr>
          <w:rFonts w:ascii="Aptos" w:cs="Aptos" w:eastAsia="Aptos" w:hAnsi="Aptos"/>
          <w:b w:val="false"/>
          <w:bCs w:val="false"/>
          <w:i w:val="false"/>
          <w:iCs w:val="false"/>
          <w:color w:val="000000"/>
          <w:sz w:val="24"/>
          <w:szCs w:val="24"/>
        </w:rPr>
        <w:t xml:space="preserve"/>
      </w:r>
    </w:p>
    <w:tbl>
      <w:tblPr>
        <w:tblW w:type="dxa" w:w="10080"/>
        <w:tblBorders>
          <w:top w:val="none"/>
          <w:left w:val="none"/>
          <w:bottom w:val="none"/>
          <w:right w:val="none"/>
          <w:insideH w:val="none"/>
          <w:insideV w:val="none"/>
        </w:tblBorders>
      </w:tblPr>
      <w:tblGrid>
        <w:gridCol w:w="140"/>
        <w:gridCol w:w="9940"/>
      </w:tblGrid>
      <w:tr>
        <w:tc>
          <w:tcPr>
            <w:tcW w:type="dxa" w:w="140"/>
            <w:tcBorders>
              <w:top w:val="single" w:color="375623" w:sz="4"/>
              <w:left w:val="single" w:color="375623" w:sz="4"/>
              <w:bottom w:val="single" w:color="375623" w:sz="4"/>
              <w:right w:val="none"/>
            </w:tcBorders>
            <w:shd w:fill="375623" w:color="auto" w:val="clear"/>
            <w:tcMar>
              <w:top w:type="dxa" w:w="0"/>
              <w:left w:type="dxa" w:w="0"/>
              <w:bottom w:type="dxa" w:w="0"/>
              <w:right w:type="dxa" w:w="0"/>
            </w:tcMar>
          </w:tcPr>
          <w:p>
            <w:r>
              <w:rPr>
                <w:rFonts w:ascii="Aptos" w:cs="Aptos" w:eastAsia="Aptos" w:hAnsi="Aptos"/>
                <w:b w:val="false"/>
                <w:bCs w:val="false"/>
                <w:i w:val="false"/>
                <w:iCs w:val="false"/>
                <w:color w:val="000000"/>
                <w:sz w:val="24"/>
                <w:szCs w:val="24"/>
              </w:rPr>
              <w:t xml:space="preserve"/>
            </w:r>
          </w:p>
        </w:tc>
        <w:tc>
          <w:tcPr>
            <w:tcW w:type="dxa" w:w="9940"/>
            <w:tcBorders>
              <w:top w:val="single" w:color="A9D18E" w:sz="4"/>
              <w:left w:val="none"/>
              <w:bottom w:val="single" w:color="A9D18E" w:sz="4"/>
              <w:right w:val="single" w:color="A9D18E" w:sz="4"/>
            </w:tcBorders>
            <w:shd w:fill="E2EFDA" w:color="auto" w:val="clear"/>
            <w:tcMar>
              <w:top w:type="dxa" w:w="80"/>
              <w:left w:type="dxa" w:w="160"/>
              <w:bottom w:type="dxa" w:w="80"/>
              <w:right w:type="dxa" w:w="120"/>
            </w:tcMar>
          </w:tcPr>
          <w:p>
            <w:pPr>
              <w:spacing w:after="30" w:before="0"/>
            </w:pPr>
            <w:r>
              <w:rPr>
                <w:rFonts w:ascii="Aptos" w:cs="Aptos" w:eastAsia="Aptos" w:hAnsi="Aptos"/>
                <w:b/>
                <w:bCs/>
                <w:i w:val="false"/>
                <w:iCs w:val="false"/>
                <w:color w:val="375623"/>
                <w:sz w:val="24"/>
                <w:szCs w:val="24"/>
              </w:rPr>
              <w:t xml:space="preserve">A5.36 — Annual compliance review cycle</w:t>
            </w:r>
          </w:p>
          <w:p>
            <w:pPr>
              <w:spacing w:after="20" w:before="0"/>
            </w:pPr>
            <w:r>
              <w:rPr>
                <w:rFonts w:ascii="Aptos" w:cs="Aptos" w:eastAsia="Aptos" w:hAnsi="Aptos"/>
                <w:b/>
                <w:bCs/>
                <w:i w:val="false"/>
                <w:iCs w:val="false"/>
                <w:color w:val="595959"/>
                <w:sz w:val="22"/>
                <w:szCs w:val="22"/>
              </w:rPr>
              <w:t xml:space="preserve">Handover from: </w:t>
            </w:r>
            <w:r>
              <w:rPr>
                <w:rFonts w:ascii="Aptos" w:cs="Aptos" w:eastAsia="Aptos" w:hAnsi="Aptos"/>
                <w:b w:val="false"/>
                <w:bCs w:val="false"/>
                <w:i w:val="false"/>
                <w:iCs w:val="false"/>
                <w:color w:val="000000"/>
                <w:sz w:val="22"/>
                <w:szCs w:val="22"/>
              </w:rPr>
              <w:t xml:space="preserve">ISMS Manager (Year 1 review completed 28 March 2027)</w:t>
            </w:r>
            <w:r>
              <w:rPr>
                <w:rFonts w:ascii="Aptos" w:cs="Aptos" w:eastAsia="Aptos" w:hAnsi="Aptos"/>
                <w:b/>
                <w:bCs/>
                <w:i w:val="false"/>
                <w:iCs w:val="false"/>
                <w:color w:val="595959"/>
                <w:sz w:val="22"/>
                <w:szCs w:val="22"/>
              </w:rPr>
              <w:t xml:space="preserve">  →  To: </w:t>
            </w:r>
            <w:r>
              <w:rPr>
                <w:rFonts w:ascii="Aptos" w:cs="Aptos" w:eastAsia="Aptos" w:hAnsi="Aptos"/>
                <w:b/>
                <w:bCs/>
                <w:i w:val="false"/>
                <w:iCs w:val="false"/>
                <w:color w:val="000000"/>
                <w:sz w:val="22"/>
                <w:szCs w:val="22"/>
              </w:rPr>
              <w:t xml:space="preserve">ISMS Manager (ongoing annual review lead)</w:t>
            </w:r>
          </w:p>
          <w:p>
            <w:pPr>
              <w:spacing w:after="0" w:before="0"/>
            </w:pPr>
            <w:r>
              <w:rPr>
                <w:rFonts w:ascii="Aptos" w:cs="Aptos" w:eastAsia="Aptos" w:hAnsi="Aptos"/>
                <w:b/>
                <w:bCs/>
                <w:i w:val="false"/>
                <w:iCs w:val="false"/>
                <w:color w:val="595959"/>
                <w:sz w:val="22"/>
                <w:szCs w:val="22"/>
              </w:rPr>
              <w:t xml:space="preserve">Key documents: </w:t>
            </w:r>
            <w:r>
              <w:rPr>
                <w:rFonts w:ascii="Aptos" w:cs="Aptos" w:eastAsia="Aptos" w:hAnsi="Aptos"/>
                <w:b w:val="false"/>
                <w:bCs w:val="false"/>
                <w:i/>
                <w:iCs/>
                <w:color w:val="000000"/>
                <w:sz w:val="22"/>
                <w:szCs w:val="22"/>
              </w:rPr>
              <w:t xml:space="preserve">A5.36 Annual Compliance Review Record v1.0 · ISMS-PLN-006 (SoA) · Calendar reminder: February 2028 (for March 2028 review)</w:t>
            </w:r>
          </w:p>
        </w:tc>
      </w:tr>
    </w:tbl>
    <w:p>
      <w:pPr>
        <w:spacing w:after="80" w:before="0"/>
        <w:jc w:val="left"/>
      </w:pPr>
      <w:r>
        <w:rPr>
          <w:rFonts w:ascii="Aptos" w:cs="Aptos" w:eastAsia="Aptos" w:hAnsi="Aptos"/>
          <w:b w:val="false"/>
          <w:bCs w:val="false"/>
          <w:i w:val="false"/>
          <w:iCs w:val="false"/>
          <w:color w:val="000000"/>
          <w:sz w:val="24"/>
          <w:szCs w:val="24"/>
        </w:rPr>
        <w:t xml:space="preserve"/>
      </w:r>
    </w:p>
    <w:p>
      <w:pPr>
        <w:pStyle w:val="Heading1"/>
        <w:spacing w:after="100" w:before="280"/>
      </w:pPr>
      <w:r>
        <w:rPr>
          <w:rFonts w:ascii="Aptos" w:cs="Aptos" w:eastAsia="Aptos" w:hAnsi="Aptos"/>
          <w:b/>
          <w:bCs/>
          <w:i w:val="false"/>
          <w:iCs w:val="false"/>
          <w:color w:val="000000"/>
          <w:sz w:val="34"/>
          <w:szCs w:val="34"/>
        </w:rPr>
        <w:t xml:space="preserve">7. Open Items at Programme Closure</w:t>
      </w:r>
    </w:p>
    <w:p>
      <w:pPr>
        <w:spacing w:after="120" w:before="0"/>
        <w:jc w:val="left"/>
      </w:pPr>
      <w:r>
        <w:rPr>
          <w:rFonts w:ascii="Aptos" w:cs="Aptos" w:eastAsia="Aptos" w:hAnsi="Aptos"/>
          <w:b w:val="false"/>
          <w:bCs w:val="false"/>
          <w:i w:val="false"/>
          <w:iCs w:val="false"/>
          <w:color w:val="000000"/>
          <w:sz w:val="24"/>
          <w:szCs w:val="24"/>
        </w:rPr>
        <w:t xml:space="preserve">The following items remain open at programme closure. They are now the responsibility of the operational ISMS function, not the project.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3200"/>
        <w:gridCol w:w="3600"/>
        <w:gridCol w:w="1680"/>
      </w:tblGrid>
      <w:tr>
        <w:trPr>
          <w:cantSplit/>
          <w:tblHeader/>
        </w:trPr>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Item</w:t>
            </w:r>
          </w:p>
        </w:tc>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Description</w:t>
            </w:r>
          </w:p>
        </w:tc>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Action required</w:t>
            </w:r>
          </w:p>
        </w:tc>
        <w:tc>
          <w:tcPr>
            <w:tcW w:type="dxa" w:w="1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A5.29 (IP)</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 during disruption — UAE DR test pending</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region DR test (October 2027). After completion: update SoA to FI. Test record to be filed in ISMS-OPS-008 Appendix B.</w:t>
            </w:r>
          </w:p>
        </w:tc>
        <w:tc>
          <w:tcPr>
            <w:tcW w:type="dxa" w:w="1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
(Head of Cloud Infra)</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A5.31 (IP)</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Legal requirements — DPDP Act implementation rules not yet finalised</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Monitor MeitY publications quarterly. On publication: update ISMS-INI-010 and ISMS-OPS-005 Track 2 within 30 days. Update SoA to FI when obligations are determinable.</w:t>
            </w:r>
          </w:p>
        </w:tc>
        <w:tc>
          <w:tcPr>
            <w:tcW w:type="dxa" w:w="1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
(Head of Legal)</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R-021 (MEDIUM)</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BCDR test — security schedule condition</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 SentinelWatch BCDR test completed by March 2027. Update ISMS-OPS-003 vendor record. Close R-021 in ISMS-PLN-004 when confirmed.</w:t>
            </w:r>
          </w:p>
        </w:tc>
        <w:tc>
          <w:tcPr>
            <w:tcW w:type="dxa" w:w="1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CI-007</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Questionnaire response library — OO-08 response time target</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Build pre-approved questionnaire response library (20 most common questions). Target: ≤5-day response time by post-certification cycle. Complete by April 2027.</w:t>
            </w:r>
          </w:p>
        </w:tc>
        <w:tc>
          <w:tcPr>
            <w:tcW w:type="dxa" w:w="1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CI-009</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Cross-region failover — architecture assessment</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Architecture assessment for India cross-region warm standby (ap-south-2). Cost estimate to Steering Committee by Q2 2027. Post-certification decision.</w:t>
            </w:r>
          </w:p>
        </w:tc>
        <w:tc>
          <w:tcPr>
            <w:tcW w:type="dxa" w:w="1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Ridhima Kapoor
(CTO)</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 CEH</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CEH certification lapsed 2023 — CISO risk acceptance signed March 2027</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CEH renewal target: H2 2027. Track in ISMS-SUP-004 Certificate Register Tab 3.</w:t>
            </w:r>
          </w:p>
        </w:tc>
        <w:tc>
          <w:tcPr>
            <w:tcW w:type="dxa" w:w="1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(Head of HR)</w:t>
            </w:r>
          </w:p>
        </w:tc>
      </w:tr>
    </w:tbl>
    <w:p>
      <w:pPr>
        <w:pStyle w:val="Heading1"/>
        <w:spacing w:after="100" w:before="280"/>
      </w:pPr>
      <w:r>
        <w:rPr>
          <w:rFonts w:ascii="Aptos" w:cs="Aptos" w:eastAsia="Aptos" w:hAnsi="Aptos"/>
          <w:b/>
          <w:bCs/>
          <w:i w:val="false"/>
          <w:iCs w:val="false"/>
          <w:color w:val="000000"/>
          <w:sz w:val="34"/>
          <w:szCs w:val="34"/>
        </w:rPr>
        <w:t xml:space="preserve">8. Consulting Engagement Closure</w:t>
      </w:r>
    </w:p>
    <w:p>
      <w:pPr>
        <w:spacing w:after="120" w:before="0"/>
        <w:jc w:val="left"/>
      </w:pPr>
      <w:r>
        <w:rPr>
          <w:rFonts w:ascii="Aptos" w:cs="Aptos" w:eastAsia="Aptos" w:hAnsi="Aptos"/>
          <w:b w:val="false"/>
          <w:bCs w:val="false"/>
          <w:i w:val="false"/>
          <w:iCs w:val="false"/>
          <w:color w:val="000000"/>
          <w:sz w:val="24"/>
          <w:szCs w:val="24"/>
        </w:rPr>
        <w:t xml:space="preserve">The external consulting engagement supporting Project HealthSec is formally closed as at 30 April 2027. The following closure actions are confirmed:</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All consulting deliverables have been received and accepted. The 92 ISMS programme documents are in the GRC Repository and are owned by MediSync.</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The external audit lead (IRCA-registered ISO 27001 Lead Auditor) who conducted Audits 1 and 2 is available for re-engagement for Audit 3 (pre-Surveillance 1, target October/November 2027). ISMS Manager to initiate re-engagement by July 2027.</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All consulting knowledge has been transferred to the ISMS Manager and CISO. No consulting dependency exists for ongoing ISMS operation.</w:t>
      </w:r>
    </w:p>
    <w:p>
      <w:pPr>
        <w:pStyle w:val="ListParagraph"/>
        <w:numPr>
          <w:ilvl w:val="0"/>
          <w:numId w:val="1"/>
        </w:numPr>
        <w:spacing w:after="70"/>
      </w:pPr>
      <w:r>
        <w:rPr>
          <w:rFonts w:ascii="Aptos" w:cs="Aptos" w:eastAsia="Aptos" w:hAnsi="Aptos"/>
          <w:b w:val="false"/>
          <w:bCs w:val="false"/>
          <w:i w:val="false"/>
          <w:iCs w:val="false"/>
          <w:color w:val="000000"/>
          <w:sz w:val="22"/>
          <w:szCs w:val="22"/>
        </w:rPr>
        <w:t xml:space="preserve">Budget: final invoices settled. No outstanding consulting financial obligations.</w:t>
      </w:r>
    </w:p>
    <w:p>
      <w:pPr>
        <w:spacing w:after="120" w:before="60"/>
        <w:jc w:val="left"/>
      </w:pPr>
      <w:r>
        <w:rPr>
          <w:rFonts w:ascii="Aptos" w:cs="Aptos" w:eastAsia="Aptos" w:hAnsi="Aptos"/>
          <w:b/>
          <w:bCs/>
          <w:i w:val="false"/>
          <w:iCs w:val="false"/>
          <w:color w:val="000000"/>
          <w:sz w:val="24"/>
          <w:szCs w:val="24"/>
        </w:rPr>
        <w:t xml:space="preserve">The ISMS is now fully owned and operated by MediSync. The consulting engagement is closed.</w:t>
      </w:r>
    </w:p>
    <w:p>
      <w:pPr>
        <w:pStyle w:val="Heading1"/>
        <w:spacing w:after="100" w:before="280"/>
      </w:pPr>
      <w:r>
        <w:rPr>
          <w:rFonts w:ascii="Aptos" w:cs="Aptos" w:eastAsia="Aptos" w:hAnsi="Aptos"/>
          <w:b/>
          <w:bCs/>
          <w:i w:val="false"/>
          <w:iCs w:val="false"/>
          <w:color w:val="000000"/>
          <w:sz w:val="34"/>
          <w:szCs w:val="34"/>
        </w:rPr>
        <w:t xml:space="preserve">9. Project Closure Authorisation</w:t>
      </w:r>
    </w:p>
    <w:p>
      <w:pPr>
        <w:spacing w:after="120" w:before="0"/>
        <w:jc w:val="left"/>
      </w:pPr>
      <w:r>
        <w:rPr>
          <w:rFonts w:ascii="Aptos" w:cs="Aptos" w:eastAsia="Aptos" w:hAnsi="Aptos"/>
          <w:b w:val="false"/>
          <w:bCs w:val="false"/>
          <w:i w:val="false"/>
          <w:iCs w:val="false"/>
          <w:color w:val="000000"/>
          <w:sz w:val="24"/>
          <w:szCs w:val="24"/>
        </w:rPr>
        <w:t xml:space="preserve">The undersigned authorise the formal closure of Project HealthSec and confirm that all programme objectives have been met, all deliverables have been accepted, and the ISMS has been successfully handed over to ongoing operation.</w:t>
      </w:r>
    </w:p>
    <w:p>
      <w:pPr>
        <w:spacing w:after="60" w:before="60"/>
        <w:jc w:val="left"/>
      </w:pPr>
      <w:r>
        <w:rPr>
          <w:rFonts w:ascii="Aptos" w:cs="Aptos" w:eastAsia="Aptos" w:hAnsi="Aptos"/>
          <w:b w:val="false"/>
          <w:bCs w:val="false"/>
          <w:i w:val="false"/>
          <w:iCs w:val="false"/>
          <w:color w:val="000000"/>
          <w:sz w:val="24"/>
          <w:szCs w:val="24"/>
        </w:rPr>
        <w:t xml:space="preserve"/>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000"/>
        <w:gridCol w:w="3000"/>
        <w:gridCol w:w="2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Signature</w:t>
            </w:r>
          </w:p>
        </w:tc>
        <w:tc>
          <w:tcPr>
            <w:tcW w:type="dxa" w:w="2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(Programme Sponsor)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April 2027</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(Technical Lead)</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April 2027</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(Programme Manager)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April 2027</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Rajesh Menon</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CFO
(Budget authority)</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______________________________</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April 2027</w:t>
            </w:r>
          </w:p>
        </w:tc>
      </w:tr>
    </w:tbl>
    <w:p>
      <w:pPr>
        <w:spacing w:after="120" w:before="80"/>
        <w:jc w:val="left"/>
      </w:pPr>
      <w:r>
        <w:rPr>
          <w:rFonts w:ascii="Aptos" w:cs="Aptos" w:eastAsia="Aptos" w:hAnsi="Aptos"/>
          <w:b w:val="false"/>
          <w:bCs w:val="false"/>
          <w:i w:val="false"/>
          <w:iCs w:val="false"/>
          <w:color w:val="000000"/>
          <w:sz w:val="24"/>
          <w:szCs w:val="24"/>
        </w:rPr>
        <w:t xml:space="preserve"/>
      </w:r>
    </w:p>
    <w:p>
      <w:pPr>
        <w:pBdr>
          <w:top w:val="thick" w:color="1F3864" w:sz="6"/>
        </w:pBdr>
        <w:spacing w:after="40" w:before="60"/>
        <w:jc w:val="center"/>
      </w:pPr>
      <w:r>
        <w:rPr>
          <w:rFonts w:ascii="Aptos" w:cs="Aptos" w:eastAsia="Aptos" w:hAnsi="Aptos"/>
          <w:b w:val="false"/>
          <w:bCs w:val="false"/>
          <w:i w:val="false"/>
          <w:iCs w:val="false"/>
          <w:color w:val="000000"/>
          <w:sz w:val="4"/>
          <w:szCs w:val="4"/>
        </w:rPr>
        <w:t xml:space="preserve"/>
      </w:r>
    </w:p>
    <w:p>
      <w:pPr>
        <w:spacing w:after="40"/>
        <w:jc w:val="center"/>
      </w:pPr>
      <w:r>
        <w:rPr>
          <w:rFonts w:ascii="Aptos" w:cs="Aptos" w:eastAsia="Aptos" w:hAnsi="Aptos"/>
          <w:b/>
          <w:bCs/>
          <w:i w:val="false"/>
          <w:iCs w:val="false"/>
          <w:color w:val="1F3864"/>
          <w:sz w:val="24"/>
          <w:szCs w:val="24"/>
        </w:rPr>
        <w:t xml:space="preserve">Project HealthSec — February 2026 to April 2027</w:t>
      </w:r>
    </w:p>
    <w:p>
      <w:pPr>
        <w:spacing w:after="0"/>
        <w:jc w:val="center"/>
      </w:pPr>
      <w:r>
        <w:rPr>
          <w:rFonts w:ascii="Aptos" w:cs="Aptos" w:eastAsia="Aptos" w:hAnsi="Aptos"/>
          <w:b w:val="false"/>
          <w:bCs w:val="false"/>
          <w:i/>
          <w:iCs/>
          <w:color w:val="595959"/>
          <w:sz w:val="22"/>
          <w:szCs w:val="22"/>
        </w:rPr>
        <w:t xml:space="preserve">92 documents · 14 months · 1 certificate · 0 major nonconformities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Project HealthSec Closure Report  ·  Confidential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ISMS-CRT-006  |  Project Closure Report  |  Project HealthSec  |  30 April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1F3864"/>
      <w:sz w:val="34"/>
      <w:szCs w:val="34"/>
    </w:rPr>
  </w:style>
  <w:style w:type="paragraph" w:styleId="Heading2">
    <w:name w:val="Heading 2"/>
    <w:basedOn w:val="Normal"/>
    <w:next w:val="Normal"/>
    <w:qFormat/>
    <w:rPr>
      <w:rFonts w:ascii="Aptos" w:cs="Aptos" w:eastAsia="Aptos" w:hAnsi="Aptos"/>
      <w:b/>
      <w:bCs/>
      <w:color w:val="000000"/>
      <w:sz w:val="28"/>
      <w:szCs w:val="28"/>
    </w:rPr>
  </w:style>
  <w:style w:type="paragraph" w:styleId="Heading3">
    <w:name w:val="Heading 3"/>
    <w:basedOn w:val="Normal"/>
    <w:next w:val="Normal"/>
    <w:qFormat/>
    <w:rPr>
      <w:rFonts w:ascii="Aptos" w:cs="Aptos" w:eastAsia="Aptos" w:hAnsi="Aptos"/>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2026-09-07T10:44:11.283Z</dcterms:created>
  <dcterms:modified xsi:type="dcterms:W3CDTF">2026-09-07T10:44:11.295Z</dcterms:modified>
</cp:coreProperties>
</file>

<file path=docProps/custom.xml><?xml version="1.0" encoding="utf-8"?>
<Properties xmlns="http://schemas.openxmlformats.org/officeDocument/2006/custom-properties" xmlns:vt="http://schemas.openxmlformats.org/officeDocument/2006/docPropsVTypes"/>
</file>